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高州垃圾发电项目2026-2027年粉状煤质活性炭</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ITB-LK-MMLK-ZB-JC2026-006</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朗坤环保能源（茂名）有限公司</w:t>
      </w:r>
    </w:p>
    <w:p w14:paraId="2A11BBA1">
      <w:pPr>
        <w:ind w:firstLine="3900" w:firstLineChars="1300"/>
        <w:jc w:val="both"/>
        <w:rPr>
          <w:rFonts w:hint="eastAsia" w:ascii="宋体" w:hAnsi="宋体" w:eastAsia="宋体"/>
          <w:sz w:val="28"/>
          <w:szCs w:val="28"/>
          <w:lang w:eastAsia="zh-CN"/>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hint="eastAsia" w:ascii="宋体" w:hAnsi="宋体" w:eastAsia="宋体"/>
          <w:sz w:val="30"/>
          <w:szCs w:val="30"/>
          <w:lang w:eastAsia="zh-CN"/>
        </w:rPr>
        <w:t>2026年5月</w:t>
      </w:r>
    </w:p>
    <w:p w14:paraId="019D775B">
      <w:pPr>
        <w:widowControl/>
        <w:spacing w:before="75" w:line="270" w:lineRule="atLeast"/>
        <w:jc w:val="left"/>
        <w:rPr>
          <w:rFonts w:ascii="Tahoma" w:hAnsi="Tahoma" w:eastAsia="宋体" w:cs="Tahoma"/>
          <w:color w:val="000000"/>
          <w:kern w:val="0"/>
          <w:sz w:val="18"/>
          <w:szCs w:val="18"/>
        </w:rPr>
      </w:pPr>
      <w:bookmarkStart w:id="0" w:name="_Toc184635054"/>
      <w:bookmarkStart w:id="1" w:name="_Toc91073131"/>
      <w:bookmarkStart w:id="2" w:name="_Toc176085606"/>
      <w:bookmarkStart w:id="3" w:name="_Toc456800085"/>
      <w:bookmarkStart w:id="4" w:name="_Toc456799947"/>
      <w:bookmarkStart w:id="5" w:name="_Toc456799687"/>
      <w:bookmarkStart w:id="6" w:name="_Toc456800242"/>
      <w:bookmarkStart w:id="7" w:name="_Toc456800136"/>
      <w:bookmarkStart w:id="8" w:name="_Toc456799795"/>
      <w:bookmarkStart w:id="9" w:name="_Toc456800166"/>
      <w:r>
        <w:rPr>
          <w:rFonts w:hint="eastAsia" w:ascii="宋体" w:hAnsi="宋体" w:eastAsia="宋体" w:cs="Tahoma"/>
          <w:color w:val="000000"/>
          <w:kern w:val="0"/>
          <w:szCs w:val="21"/>
        </w:rPr>
        <w:t>本招标项目高州绿能环保发电项目已由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投资建设完成，朗坤环保能源（茂名）有限公司进行运营管理，企业筹划资金，现对该项目相关运营物资及技术服务进行招采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0"/>
    <w:bookmarkEnd w:id="1"/>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朗坤环保能源（茂名）有限公司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lang w:eastAsia="zh-CN"/>
        </w:rPr>
        <w:t>广东省茂名高州市金山工业区高州绿能环保发电项目现场</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w:t>
      </w:r>
      <w:r>
        <w:rPr>
          <w:rFonts w:hint="eastAsia" w:ascii="宋体" w:hAnsi="宋体" w:eastAsia="宋体" w:cs="Tahoma"/>
          <w:color w:val="000000"/>
          <w:kern w:val="0"/>
          <w:szCs w:val="21"/>
          <w:lang w:val="en-US" w:eastAsia="zh-CN"/>
        </w:rPr>
        <w:t>文件</w:t>
      </w:r>
      <w:r>
        <w:rPr>
          <w:rFonts w:hint="eastAsia" w:ascii="宋体" w:hAnsi="宋体" w:eastAsia="宋体" w:cs="Tahoma"/>
          <w:color w:val="000000"/>
          <w:kern w:val="0"/>
          <w:szCs w:val="21"/>
        </w:rPr>
        <w:t>编号：</w:t>
      </w:r>
      <w:r>
        <w:rPr>
          <w:rFonts w:hint="eastAsia" w:ascii="宋体" w:hAnsi="宋体" w:eastAsia="宋体" w:cs="Tahoma"/>
          <w:b/>
          <w:bCs/>
          <w:color w:val="000000"/>
          <w:kern w:val="0"/>
          <w:szCs w:val="21"/>
          <w:lang w:eastAsia="zh-CN"/>
        </w:rPr>
        <w:t>LK-ZB-EB-2026014</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180</w:t>
      </w:r>
      <w:r>
        <w:rPr>
          <w:rFonts w:hint="eastAsia" w:ascii="宋体" w:hAnsi="宋体" w:eastAsia="宋体" w:cs="Tahoma"/>
          <w:color w:val="000000"/>
          <w:kern w:val="0"/>
          <w:szCs w:val="21"/>
        </w:rPr>
        <w:t>吨</w:t>
      </w:r>
      <w:r>
        <w:rPr>
          <w:rFonts w:hint="eastAsia" w:ascii="宋体" w:hAnsi="宋体" w:eastAsia="宋体" w:cs="Tahoma"/>
          <w:color w:val="000000"/>
          <w:kern w:val="0"/>
          <w:szCs w:val="21"/>
          <w:lang w:eastAsia="zh-CN"/>
        </w:rPr>
        <w:t>粉状煤质活性炭（蒸汽活化）</w:t>
      </w:r>
      <w:r>
        <w:rPr>
          <w:rFonts w:hint="eastAsia" w:ascii="宋体" w:hAnsi="宋体" w:eastAsia="宋体" w:cs="Tahoma"/>
          <w:color w:val="000000"/>
          <w:kern w:val="0"/>
          <w:szCs w:val="21"/>
        </w:rPr>
        <w:t>，</w:t>
      </w:r>
      <w:r>
        <w:rPr>
          <w:rFonts w:hint="eastAsia" w:ascii="宋体" w:hAnsi="宋体" w:eastAsia="宋体" w:cs="Tahoma"/>
          <w:color w:val="000000"/>
          <w:kern w:val="0"/>
          <w:szCs w:val="21"/>
          <w:lang w:eastAsia="zh-CN"/>
        </w:rPr>
        <w:t>碘</w:t>
      </w:r>
      <w:r>
        <w:rPr>
          <w:rFonts w:hint="eastAsia" w:ascii="宋体" w:hAnsi="宋体" w:eastAsia="宋体" w:cs="Tahoma"/>
          <w:color w:val="000000"/>
          <w:kern w:val="0"/>
          <w:szCs w:val="21"/>
        </w:rPr>
        <w:t>吸附值≥900 mg/g、比表面积（BET）≥900㎡/g、水分≤5%</w:t>
      </w:r>
      <w:r>
        <w:rPr>
          <w:rFonts w:hint="eastAsia" w:ascii="宋体" w:hAnsi="宋体" w:eastAsia="宋体" w:cs="Tahoma"/>
          <w:color w:val="000000"/>
          <w:kern w:val="0"/>
          <w:szCs w:val="21"/>
          <w:lang w:eastAsia="zh-CN"/>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7</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2026年5月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朗坤环保能源（茂名）有限公司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432EF0B8">
      <w:pPr>
        <w:widowControl/>
        <w:jc w:val="left"/>
        <w:rPr>
          <w:rFonts w:hint="eastAsia" w:ascii="宋体" w:hAnsi="宋体" w:eastAsia="宋体" w:cs="Tahoma"/>
          <w:color w:val="000000"/>
          <w:kern w:val="0"/>
          <w:szCs w:val="21"/>
          <w:lang w:val="en-US" w:eastAsia="zh-CN"/>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w:t>
      </w:r>
      <w:r>
        <w:rPr>
          <w:rFonts w:hint="eastAsia" w:ascii="宋体" w:hAnsi="宋体" w:eastAsia="宋体" w:cs="Tahoma"/>
          <w:color w:val="000000"/>
          <w:kern w:val="0"/>
          <w:szCs w:val="21"/>
          <w:lang w:val="en-US" w:eastAsia="zh-CN"/>
        </w:rPr>
        <w:t xml:space="preserve">028712839 </w:t>
      </w:r>
    </w:p>
    <w:p w14:paraId="32F66CA1">
      <w:pPr>
        <w:widowControl/>
        <w:jc w:val="left"/>
        <w:rPr>
          <w:rFonts w:hint="eastAsia" w:ascii="宋体" w:hAnsi="宋体" w:eastAsia="宋体" w:cs="Tahoma"/>
          <w:color w:val="000000"/>
          <w:kern w:val="0"/>
          <w:szCs w:val="21"/>
          <w:lang w:eastAsia="zh-CN"/>
        </w:rPr>
      </w:pPr>
      <w:r>
        <w:rPr>
          <w:rFonts w:hint="eastAsia" w:ascii="宋体" w:hAnsi="宋体" w:eastAsia="宋体" w:cs="Tahoma"/>
          <w:color w:val="000000"/>
          <w:kern w:val="0"/>
          <w:szCs w:val="21"/>
        </w:rPr>
        <w:t>邮箱：</w:t>
      </w:r>
      <w:r>
        <w:rPr>
          <w:rFonts w:hint="eastAsia" w:ascii="宋体" w:hAnsi="宋体" w:eastAsia="宋体" w:cs="Tahoma"/>
          <w:color w:val="000000"/>
          <w:kern w:val="0"/>
          <w:szCs w:val="21"/>
          <w:lang w:eastAsia="zh-CN"/>
        </w:rPr>
        <w:fldChar w:fldCharType="begin"/>
      </w:r>
      <w:r>
        <w:rPr>
          <w:rFonts w:hint="eastAsia" w:ascii="宋体" w:hAnsi="宋体" w:eastAsia="宋体" w:cs="Tahoma"/>
          <w:color w:val="000000"/>
          <w:kern w:val="0"/>
          <w:szCs w:val="21"/>
          <w:lang w:eastAsia="zh-CN"/>
        </w:rPr>
        <w:instrText xml:space="preserve"> HYPERLINK "mailto:yuwei@leoking.com" </w:instrText>
      </w:r>
      <w:r>
        <w:rPr>
          <w:rFonts w:hint="eastAsia" w:ascii="宋体" w:hAnsi="宋体" w:eastAsia="宋体" w:cs="Tahoma"/>
          <w:color w:val="000000"/>
          <w:kern w:val="0"/>
          <w:szCs w:val="21"/>
          <w:lang w:eastAsia="zh-CN"/>
        </w:rPr>
        <w:fldChar w:fldCharType="separate"/>
      </w:r>
      <w:r>
        <w:rPr>
          <w:rFonts w:hint="eastAsia" w:ascii="宋体" w:hAnsi="宋体" w:eastAsia="宋体" w:cs="Tahoma"/>
          <w:color w:val="000000"/>
          <w:kern w:val="0"/>
          <w:szCs w:val="21"/>
          <w:lang w:eastAsia="zh-CN"/>
        </w:rPr>
        <w:t>yuwei@leoking.com</w:t>
      </w:r>
      <w:r>
        <w:rPr>
          <w:rFonts w:hint="eastAsia" w:ascii="宋体" w:hAnsi="宋体" w:eastAsia="宋体" w:cs="Tahoma"/>
          <w:color w:val="000000"/>
          <w:kern w:val="0"/>
          <w:szCs w:val="21"/>
          <w:lang w:eastAsia="zh-CN"/>
        </w:rPr>
        <w:fldChar w:fldCharType="end"/>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0" w:name="_Toc91073141"/>
      <w:r>
        <w:rPr>
          <w:rFonts w:hint="eastAsia" w:ascii="宋体" w:hAnsi="宋体"/>
          <w:b w:val="0"/>
          <w:color w:val="000000"/>
          <w:sz w:val="24"/>
          <w:szCs w:val="24"/>
        </w:rPr>
        <w:t>附件 1-1：投标意向确认书格式</w:t>
      </w:r>
      <w:bookmarkEnd w:id="2"/>
      <w:bookmarkEnd w:id="10"/>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eastAsia="zh-CN"/>
        </w:rPr>
        <w:t xml:space="preserve">18028712839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朗坤环保能源（茂名）有限公司粉状煤质活性炭</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 xml:space="preserve">ITB-LK-MMLK-ZB-JC2026-006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1"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1"/>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每月</w:t>
            </w:r>
            <w:r>
              <w:rPr>
                <w:rFonts w:hint="eastAsia" w:cs="Times New Roman" w:asciiTheme="minorEastAsia" w:hAnsiTheme="minorEastAsia" w:eastAsiaTheme="minorEastAsia"/>
              </w:rPr>
              <w:t>21号统计上月21-本月20日实际交货的数量（经甲方验收合格），通知乙方开票、实际付款时间为甲方收到乙方发票后</w:t>
            </w:r>
            <w:r>
              <w:rPr>
                <w:rFonts w:hint="eastAsia" w:cs="Times New Roman" w:asciiTheme="minorEastAsia" w:hAnsiTheme="minorEastAsia" w:eastAsiaTheme="minorEastAsia"/>
                <w:lang w:val="en-US" w:eastAsia="zh-CN"/>
              </w:rPr>
              <w:t>60</w:t>
            </w:r>
            <w:r>
              <w:rPr>
                <w:rFonts w:hint="eastAsia" w:cs="Times New Roman" w:asciiTheme="minorEastAsia" w:hAnsiTheme="minorEastAsia" w:eastAsiaTheme="minorEastAsia"/>
              </w:rPr>
              <w:t>天</w:t>
            </w:r>
            <w:r>
              <w:rPr>
                <w:rFonts w:hint="eastAsia" w:cs="Times New Roman" w:asciiTheme="minorEastAsia" w:hAnsiTheme="minorEastAsia" w:eastAsiaTheme="minorEastAsia"/>
                <w:lang w:val="en-US" w:eastAsia="zh-CN"/>
              </w:rPr>
              <w:t>内</w:t>
            </w:r>
            <w:r>
              <w:rPr>
                <w:rFonts w:hint="eastAsia" w:cs="Times New Roman" w:asciiTheme="minorEastAsia" w:hAnsiTheme="minorEastAsia" w:eastAsiaTheme="minorEastAsia"/>
              </w:rPr>
              <w:t>付款。</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180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1、合格验收：碘吸附值≥900 mg/g、细度200目过筛≥95、 水分≤5% ，甲方作为合格物料予以验收结算。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碘吸附值在</w:t>
            </w:r>
            <w:r>
              <w:rPr>
                <w:rFonts w:hint="eastAsia" w:asciiTheme="minorEastAsia" w:hAnsiTheme="minorEastAsia" w:eastAsiaTheme="minorEastAsia"/>
                <w:lang w:val="en-US" w:eastAsia="zh-CN"/>
              </w:rPr>
              <w:t>8</w:t>
            </w:r>
            <w:r>
              <w:rPr>
                <w:rFonts w:hint="eastAsia" w:asciiTheme="minorEastAsia" w:hAnsiTheme="minorEastAsia" w:eastAsiaTheme="minorEastAsia"/>
              </w:rPr>
              <w:t>60 mg/g</w:t>
            </w:r>
            <w:r>
              <w:rPr>
                <w:rFonts w:hint="eastAsia" w:asciiTheme="minorEastAsia" w:hAnsiTheme="minorEastAsia" w:eastAsiaTheme="minorEastAsia"/>
                <w:lang w:val="en-US" w:eastAsia="zh-CN"/>
              </w:rPr>
              <w:t>到</w:t>
            </w:r>
            <w:r>
              <w:rPr>
                <w:rFonts w:hint="eastAsia" w:asciiTheme="minorEastAsia" w:hAnsiTheme="minorEastAsia" w:eastAsiaTheme="minorEastAsia"/>
              </w:rPr>
              <w:t>900 mg/g之间，且</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粒度通过率（</w:t>
            </w:r>
            <w:r>
              <w:rPr>
                <w:rFonts w:hint="eastAsia" w:asciiTheme="minorEastAsia" w:hAnsiTheme="minorEastAsia" w:eastAsiaTheme="minorEastAsia"/>
                <w:lang w:val="en-US" w:eastAsia="zh-CN"/>
              </w:rPr>
              <w:t>200</w:t>
            </w:r>
            <w:r>
              <w:rPr>
                <w:rFonts w:hint="eastAsia" w:asciiTheme="minorEastAsia" w:hAnsiTheme="minorEastAsia" w:eastAsiaTheme="minorEastAsia"/>
              </w:rPr>
              <w:t>目）在90%（含）到95%（不含）之间，</w:t>
            </w:r>
            <w:r>
              <w:rPr>
                <w:rFonts w:hint="eastAsia" w:asciiTheme="minorEastAsia" w:hAnsiTheme="minorEastAsia" w:eastAsiaTheme="minorEastAsia"/>
                <w:lang w:val="en-US" w:eastAsia="zh-CN"/>
              </w:rPr>
              <w:t>水分在</w:t>
            </w:r>
            <w:r>
              <w:rPr>
                <w:rFonts w:hint="eastAsia" w:asciiTheme="minorEastAsia" w:hAnsiTheme="minorEastAsia" w:eastAsiaTheme="minorEastAsia"/>
              </w:rPr>
              <w:t>5%</w:t>
            </w:r>
            <w:r>
              <w:rPr>
                <w:rFonts w:hint="eastAsia" w:asciiTheme="minorEastAsia" w:hAnsiTheme="minorEastAsia" w:eastAsiaTheme="minorEastAsia"/>
                <w:lang w:val="en-US" w:eastAsia="zh-CN"/>
              </w:rPr>
              <w:t>到10</w:t>
            </w:r>
            <w:r>
              <w:rPr>
                <w:rFonts w:hint="eastAsia" w:asciiTheme="minorEastAsia" w:hAnsiTheme="minorEastAsia" w:eastAsiaTheme="minorEastAsia"/>
              </w:rPr>
              <w:t>%</w:t>
            </w:r>
            <w:r>
              <w:rPr>
                <w:rFonts w:hint="eastAsia" w:asciiTheme="minorEastAsia" w:hAnsiTheme="minorEastAsia" w:eastAsiaTheme="minorEastAsia"/>
                <w:lang w:eastAsia="zh-CN"/>
              </w:rPr>
              <w:t>，</w:t>
            </w:r>
            <w:r>
              <w:rPr>
                <w:rFonts w:hint="eastAsia" w:asciiTheme="minorEastAsia" w:hAnsiTheme="minorEastAsia" w:eastAsiaTheme="minorEastAsia"/>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42AEE32A">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当</w:t>
            </w:r>
            <w:r>
              <w:rPr>
                <w:rFonts w:hint="eastAsia" w:asciiTheme="minorEastAsia" w:hAnsiTheme="minorEastAsia" w:eastAsiaTheme="minorEastAsia"/>
                <w:lang w:val="en-US" w:eastAsia="zh-CN"/>
              </w:rPr>
              <w:t>8</w:t>
            </w:r>
            <w:r>
              <w:rPr>
                <w:rFonts w:hint="eastAsia" w:asciiTheme="minorEastAsia" w:hAnsiTheme="minorEastAsia" w:eastAsiaTheme="minorEastAsia"/>
              </w:rPr>
              <w:t>90 mg/g≤碘值＜</w:t>
            </w:r>
            <w:r>
              <w:rPr>
                <w:rFonts w:hint="eastAsia" w:asciiTheme="minorEastAsia" w:hAnsiTheme="minorEastAsia" w:eastAsiaTheme="minorEastAsia"/>
                <w:lang w:val="en-US" w:eastAsia="zh-CN"/>
              </w:rPr>
              <w:t>9</w:t>
            </w:r>
            <w:r>
              <w:rPr>
                <w:rFonts w:hint="eastAsia" w:asciiTheme="minorEastAsia" w:hAnsiTheme="minorEastAsia" w:eastAsiaTheme="minorEastAsia"/>
              </w:rPr>
              <w:t>00 mg/g之间，该车次产品单价下调2%，当</w:t>
            </w:r>
            <w:r>
              <w:rPr>
                <w:rFonts w:hint="eastAsia" w:asciiTheme="minorEastAsia" w:hAnsiTheme="minorEastAsia" w:eastAsiaTheme="minorEastAsia"/>
                <w:lang w:val="en-US" w:eastAsia="zh-CN"/>
              </w:rPr>
              <w:t>8</w:t>
            </w:r>
            <w:r>
              <w:rPr>
                <w:rFonts w:hint="eastAsia" w:asciiTheme="minorEastAsia" w:hAnsiTheme="minorEastAsia" w:eastAsiaTheme="minorEastAsia"/>
              </w:rPr>
              <w:t>80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90 mg/g之间，该车次产品单价下调4%，当</w:t>
            </w:r>
            <w:r>
              <w:rPr>
                <w:rFonts w:hint="eastAsia" w:asciiTheme="minorEastAsia" w:hAnsiTheme="minorEastAsia" w:eastAsiaTheme="minorEastAsia"/>
                <w:lang w:val="en-US" w:eastAsia="zh-CN"/>
              </w:rPr>
              <w:t>8</w:t>
            </w:r>
            <w:r>
              <w:rPr>
                <w:rFonts w:hint="eastAsia" w:asciiTheme="minorEastAsia" w:hAnsiTheme="minorEastAsia" w:eastAsiaTheme="minorEastAsia"/>
              </w:rPr>
              <w:t>70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80 mg/g之间，该车次产品单价下调6%，当</w:t>
            </w:r>
            <w:r>
              <w:rPr>
                <w:rFonts w:hint="eastAsia" w:asciiTheme="minorEastAsia" w:hAnsiTheme="minorEastAsia" w:eastAsiaTheme="minorEastAsia"/>
                <w:lang w:val="en-US" w:eastAsia="zh-CN"/>
              </w:rPr>
              <w:t>8</w:t>
            </w:r>
            <w:r>
              <w:rPr>
                <w:rFonts w:hint="eastAsia" w:asciiTheme="minorEastAsia" w:hAnsiTheme="minorEastAsia" w:eastAsiaTheme="minorEastAsia"/>
              </w:rPr>
              <w:t>60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70 mg/g之间，该车次产品单价下调8%。</w:t>
            </w:r>
          </w:p>
          <w:p w14:paraId="7E23E1D4">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90%≤200目过筛率≤95%，在此之间过筛率每下降1%，该车次产品单价按合同单价下调2个点</w:t>
            </w:r>
          </w:p>
          <w:p w14:paraId="236C3799">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水分在5%＜碘值≤10%之间，在此区间水分每下降1%，该车次产品单价按合同单价下调2个点。</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3、不予验收：不予验收（不合格、不结算、退货）：当活性炭碘值小于860 mg/g、水分大于10%、200目过筛率小于90%，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3"/>
    <w:bookmarkEnd w:id="4"/>
    <w:bookmarkEnd w:id="5"/>
    <w:bookmarkEnd w:id="6"/>
    <w:bookmarkEnd w:id="7"/>
    <w:bookmarkEnd w:id="8"/>
    <w:bookmarkEnd w:id="9"/>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2" w:name="_Toc91073208"/>
      <w:r>
        <w:rPr>
          <w:rFonts w:hint="eastAsia" w:ascii="宋体" w:hAnsi="宋体" w:eastAsia="宋体"/>
          <w:b w:val="0"/>
          <w:color w:val="000000"/>
          <w:sz w:val="32"/>
          <w:szCs w:val="32"/>
        </w:rPr>
        <w:t>三 投标文件格式</w:t>
      </w:r>
      <w:bookmarkEnd w:id="12"/>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粉状煤质活性炭</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ITB-LK-MMLK-ZB-JC2026-006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日期：2026年  月   日</w:t>
      </w:r>
      <w:bookmarkStart w:id="13" w:name="_Toc456799689"/>
      <w:bookmarkStart w:id="14" w:name="_Toc456799797"/>
      <w:bookmarkStart w:id="15" w:name="_Toc456800087"/>
      <w:bookmarkStart w:id="16" w:name="_Toc456800138"/>
      <w:bookmarkStart w:id="17" w:name="_Toc456799949"/>
      <w:bookmarkStart w:id="18" w:name="_Toc456800168"/>
      <w:bookmarkStart w:id="19" w:name="_Toc456800244"/>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3"/>
      <w:bookmarkEnd w:id="14"/>
      <w:bookmarkEnd w:id="15"/>
      <w:bookmarkEnd w:id="16"/>
      <w:bookmarkEnd w:id="17"/>
      <w:bookmarkEnd w:id="18"/>
      <w:bookmarkEnd w:id="19"/>
      <w:bookmarkStart w:id="20" w:name="_Toc174521069"/>
      <w:bookmarkStart w:id="21" w:name="_Toc176085638"/>
    </w:p>
    <w:p w14:paraId="61C01CC6">
      <w:pPr>
        <w:tabs>
          <w:tab w:val="left" w:pos="3906"/>
        </w:tabs>
        <w:spacing w:before="120" w:beforeLines="50" w:after="120" w:afterLines="50"/>
        <w:outlineLvl w:val="1"/>
        <w:rPr>
          <w:rFonts w:ascii="宋体" w:hAnsi="宋体" w:eastAsia="宋体"/>
          <w:szCs w:val="24"/>
        </w:rPr>
      </w:pPr>
      <w:bookmarkStart w:id="22" w:name="_Toc456800139"/>
      <w:bookmarkStart w:id="23" w:name="_Toc456800169"/>
      <w:bookmarkStart w:id="24" w:name="_Toc456800088"/>
      <w:bookmarkStart w:id="25" w:name="_Toc456799950"/>
      <w:bookmarkStart w:id="26" w:name="_Toc91073209"/>
      <w:bookmarkStart w:id="27" w:name="_Toc456799690"/>
      <w:bookmarkStart w:id="28" w:name="_Toc456800245"/>
      <w:bookmarkStart w:id="29" w:name="_Toc456799798"/>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0"/>
      <w:bookmarkEnd w:id="21"/>
      <w:bookmarkEnd w:id="22"/>
      <w:bookmarkEnd w:id="23"/>
      <w:bookmarkEnd w:id="24"/>
      <w:bookmarkEnd w:id="25"/>
      <w:bookmarkEnd w:id="26"/>
      <w:bookmarkEnd w:id="27"/>
      <w:bookmarkEnd w:id="28"/>
      <w:bookmarkEnd w:id="29"/>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0" w:name="_Toc174521070"/>
      <w:bookmarkStart w:id="31" w:name="_Toc176085639"/>
      <w:bookmarkStart w:id="32" w:name="_Toc456799951"/>
      <w:bookmarkStart w:id="33" w:name="_Toc456799691"/>
      <w:bookmarkStart w:id="34" w:name="_Toc456800170"/>
      <w:bookmarkStart w:id="35" w:name="_Toc456799799"/>
      <w:bookmarkStart w:id="36" w:name="_Toc91073210"/>
      <w:bookmarkStart w:id="37" w:name="_Toc456800246"/>
      <w:bookmarkStart w:id="38" w:name="_Toc456800089"/>
      <w:bookmarkStart w:id="39" w:name="_Toc45680014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0"/>
      <w:bookmarkEnd w:id="31"/>
      <w:r>
        <w:rPr>
          <w:rFonts w:hint="eastAsia" w:ascii="宋体" w:hAnsi="宋体" w:eastAsia="宋体"/>
          <w:szCs w:val="24"/>
        </w:rPr>
        <w:t>报价格式</w:t>
      </w:r>
      <w:bookmarkEnd w:id="32"/>
      <w:bookmarkEnd w:id="33"/>
      <w:bookmarkEnd w:id="34"/>
      <w:bookmarkEnd w:id="35"/>
      <w:bookmarkEnd w:id="36"/>
      <w:bookmarkEnd w:id="37"/>
      <w:bookmarkEnd w:id="38"/>
      <w:bookmarkEnd w:id="39"/>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0" w:name="_Toc174521072"/>
      <w:bookmarkStart w:id="41"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40"/>
      <w:bookmarkEnd w:id="41"/>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2" w:name="_Toc174521074"/>
      <w:bookmarkStart w:id="43" w:name="_Toc176085643"/>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2"/>
      <w:bookmarkEnd w:id="43"/>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4" w:name="_Toc176085644"/>
      <w:bookmarkStart w:id="45" w:name="_Toc174521075"/>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4"/>
      <w:bookmarkEnd w:id="45"/>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6" w:name="_Toc176085645"/>
      <w:bookmarkStart w:id="47" w:name="_Toc174521076"/>
      <w:bookmarkStart w:id="48" w:name="_Toc456799803"/>
      <w:bookmarkStart w:id="49" w:name="_Toc456799695"/>
      <w:bookmarkStart w:id="50" w:name="_Toc45679995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6"/>
      <w:bookmarkEnd w:id="47"/>
    </w:p>
    <w:p w14:paraId="5F877C7C">
      <w:pPr>
        <w:suppressAutoHyphens/>
        <w:spacing w:line="360" w:lineRule="auto"/>
        <w:jc w:val="center"/>
        <w:rPr>
          <w:rFonts w:ascii="宋体" w:hAnsi="宋体" w:eastAsia="宋体"/>
          <w:color w:val="000000"/>
          <w:szCs w:val="24"/>
        </w:rPr>
      </w:pPr>
      <w:bookmarkStart w:id="51" w:name="_Toc456799800"/>
      <w:bookmarkStart w:id="52" w:name="_Toc456799692"/>
      <w:bookmarkStart w:id="53" w:name="_Toc456800090"/>
      <w:bookmarkStart w:id="54" w:name="_Toc456800171"/>
      <w:bookmarkStart w:id="55" w:name="_Toc456799952"/>
      <w:bookmarkStart w:id="56" w:name="_Toc456800141"/>
      <w:r>
        <w:rPr>
          <w:rFonts w:hint="eastAsia" w:ascii="宋体" w:hAnsi="宋体" w:eastAsia="宋体"/>
          <w:color w:val="000000"/>
          <w:szCs w:val="24"/>
        </w:rPr>
        <w:t>投标函</w:t>
      </w:r>
      <w:bookmarkEnd w:id="51"/>
      <w:bookmarkEnd w:id="52"/>
      <w:bookmarkEnd w:id="53"/>
      <w:bookmarkEnd w:id="54"/>
      <w:bookmarkEnd w:id="55"/>
      <w:bookmarkEnd w:id="56"/>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2026</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7" w:name="_Toc456799801"/>
      <w:bookmarkStart w:id="58" w:name="_Toc456800091"/>
      <w:bookmarkStart w:id="59" w:name="_Toc456799953"/>
      <w:bookmarkStart w:id="60" w:name="_Toc456799693"/>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7"/>
      <w:bookmarkEnd w:id="58"/>
      <w:bookmarkEnd w:id="59"/>
      <w:bookmarkEnd w:id="60"/>
    </w:p>
    <w:p w14:paraId="5E10E18C">
      <w:pPr>
        <w:spacing w:line="360" w:lineRule="auto"/>
        <w:ind w:firstLine="525"/>
        <w:jc w:val="center"/>
        <w:rPr>
          <w:rFonts w:ascii="宋体" w:hAnsi="宋体" w:eastAsia="宋体"/>
          <w:color w:val="000000"/>
          <w:szCs w:val="24"/>
        </w:rPr>
      </w:pPr>
      <w:bookmarkStart w:id="61" w:name="_Toc456800172"/>
      <w:bookmarkStart w:id="62" w:name="_Toc456799802"/>
      <w:bookmarkStart w:id="63" w:name="_Toc456799954"/>
      <w:bookmarkStart w:id="64" w:name="_Toc456800092"/>
      <w:bookmarkStart w:id="65" w:name="_Toc456800247"/>
      <w:bookmarkStart w:id="66" w:name="_Toc456800142"/>
      <w:bookmarkStart w:id="67" w:name="_Toc456799694"/>
      <w:r>
        <w:rPr>
          <w:rFonts w:hint="eastAsia" w:ascii="宋体" w:hAnsi="宋体" w:eastAsia="宋体"/>
          <w:color w:val="000000"/>
          <w:szCs w:val="24"/>
        </w:rPr>
        <w:t>法定代表人授权书</w:t>
      </w:r>
      <w:bookmarkEnd w:id="61"/>
      <w:bookmarkEnd w:id="62"/>
      <w:bookmarkEnd w:id="63"/>
      <w:bookmarkEnd w:id="64"/>
      <w:bookmarkEnd w:id="65"/>
      <w:bookmarkEnd w:id="66"/>
      <w:bookmarkEnd w:id="67"/>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8"/>
      <w:bookmarkEnd w:id="49"/>
      <w:bookmarkEnd w:id="50"/>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粉状煤质活性炭</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180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8" w:name="_Toc174521078"/>
      <w:bookmarkStart w:id="69"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8"/>
      <w:bookmarkEnd w:id="69"/>
    </w:p>
    <w:tbl>
      <w:tblPr>
        <w:tblStyle w:val="4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140"/>
        <w:gridCol w:w="1783"/>
        <w:gridCol w:w="628"/>
        <w:gridCol w:w="1153"/>
        <w:gridCol w:w="1148"/>
        <w:gridCol w:w="1373"/>
        <w:gridCol w:w="1176"/>
      </w:tblGrid>
      <w:tr w14:paraId="0C5B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479" w:type="pct"/>
            <w:vAlign w:val="center"/>
          </w:tcPr>
          <w:p w14:paraId="063FC6C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材料名称</w:t>
            </w:r>
          </w:p>
        </w:tc>
        <w:tc>
          <w:tcPr>
            <w:tcW w:w="1586" w:type="pct"/>
            <w:gridSpan w:val="2"/>
            <w:vAlign w:val="center"/>
          </w:tcPr>
          <w:p w14:paraId="127683F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规格型号、技术要求</w:t>
            </w:r>
          </w:p>
        </w:tc>
        <w:tc>
          <w:tcPr>
            <w:tcW w:w="344" w:type="pct"/>
            <w:vAlign w:val="center"/>
          </w:tcPr>
          <w:p w14:paraId="2B4C0E6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单位</w:t>
            </w:r>
          </w:p>
        </w:tc>
        <w:tc>
          <w:tcPr>
            <w:tcW w:w="627" w:type="pct"/>
            <w:vAlign w:val="center"/>
          </w:tcPr>
          <w:p w14:paraId="668F0D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暂定数量</w:t>
            </w:r>
          </w:p>
        </w:tc>
        <w:tc>
          <w:tcPr>
            <w:tcW w:w="624" w:type="pct"/>
            <w:vAlign w:val="center"/>
          </w:tcPr>
          <w:p w14:paraId="196502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单价（元）</w:t>
            </w:r>
          </w:p>
        </w:tc>
        <w:tc>
          <w:tcPr>
            <w:tcW w:w="745" w:type="pct"/>
          </w:tcPr>
          <w:p w14:paraId="4F2740F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总价（元）</w:t>
            </w:r>
          </w:p>
        </w:tc>
        <w:tc>
          <w:tcPr>
            <w:tcW w:w="592" w:type="pct"/>
            <w:vAlign w:val="center"/>
          </w:tcPr>
          <w:p w14:paraId="2FCF77D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 xml:space="preserve">备注  </w:t>
            </w:r>
          </w:p>
        </w:tc>
      </w:tr>
      <w:tr w14:paraId="35F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restart"/>
            <w:vAlign w:val="center"/>
          </w:tcPr>
          <w:p w14:paraId="153B0308">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粉状煤质活性炭（蒸汽活化）</w:t>
            </w:r>
          </w:p>
        </w:tc>
        <w:tc>
          <w:tcPr>
            <w:tcW w:w="620" w:type="pct"/>
            <w:vAlign w:val="center"/>
          </w:tcPr>
          <w:p w14:paraId="6B77750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指标</w:t>
            </w:r>
          </w:p>
        </w:tc>
        <w:tc>
          <w:tcPr>
            <w:tcW w:w="966" w:type="pct"/>
            <w:vAlign w:val="center"/>
          </w:tcPr>
          <w:p w14:paraId="2C68536B">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参考值</w:t>
            </w:r>
          </w:p>
        </w:tc>
        <w:tc>
          <w:tcPr>
            <w:tcW w:w="344" w:type="pct"/>
            <w:vMerge w:val="restart"/>
            <w:vAlign w:val="center"/>
          </w:tcPr>
          <w:p w14:paraId="2B78674D">
            <w:pPr>
              <w:pStyle w:val="14"/>
              <w:jc w:val="center"/>
            </w:pPr>
            <w:r>
              <w:rPr>
                <w:rFonts w:hint="eastAsia"/>
              </w:rPr>
              <w:t>吨</w:t>
            </w:r>
          </w:p>
        </w:tc>
        <w:tc>
          <w:tcPr>
            <w:tcW w:w="627" w:type="pct"/>
            <w:vMerge w:val="restart"/>
            <w:vAlign w:val="center"/>
          </w:tcPr>
          <w:p w14:paraId="657AABC3">
            <w:pPr>
              <w:pStyle w:val="14"/>
              <w:jc w:val="center"/>
              <w:rPr>
                <w:rFonts w:hint="default" w:eastAsia="宋体"/>
                <w:lang w:val="en-US" w:eastAsia="zh-CN"/>
              </w:rPr>
            </w:pPr>
            <w:r>
              <w:rPr>
                <w:rFonts w:hint="eastAsia"/>
                <w:lang w:val="en-US" w:eastAsia="zh-CN"/>
              </w:rPr>
              <w:t>180</w:t>
            </w:r>
          </w:p>
        </w:tc>
        <w:tc>
          <w:tcPr>
            <w:tcW w:w="624" w:type="pct"/>
            <w:vMerge w:val="restart"/>
            <w:vAlign w:val="center"/>
          </w:tcPr>
          <w:p w14:paraId="4D0948B9">
            <w:pPr>
              <w:pStyle w:val="14"/>
            </w:pPr>
          </w:p>
        </w:tc>
        <w:tc>
          <w:tcPr>
            <w:tcW w:w="745" w:type="pct"/>
            <w:vMerge w:val="restart"/>
            <w:vAlign w:val="center"/>
          </w:tcPr>
          <w:p w14:paraId="7598B59D">
            <w:pPr>
              <w:pStyle w:val="14"/>
            </w:pPr>
          </w:p>
        </w:tc>
        <w:tc>
          <w:tcPr>
            <w:tcW w:w="592" w:type="pct"/>
            <w:vMerge w:val="restart"/>
            <w:vAlign w:val="center"/>
          </w:tcPr>
          <w:p w14:paraId="411F21D2">
            <w:pPr>
              <w:pStyle w:val="14"/>
              <w:rPr>
                <w:rFonts w:hint="eastAsia" w:eastAsia="宋体"/>
                <w:lang w:val="en-US" w:eastAsia="zh-CN"/>
              </w:rPr>
            </w:pPr>
            <w:r>
              <w:rPr>
                <w:rFonts w:hint="eastAsia" w:ascii="宋体" w:hAnsi="宋体"/>
                <w:szCs w:val="21"/>
              </w:rPr>
              <w:t>GB/T7702 《煤质颗粒活性炭试验方法》</w:t>
            </w:r>
            <w:r>
              <w:rPr>
                <w:rFonts w:hint="eastAsia" w:ascii="宋体" w:hAnsi="宋体"/>
                <w:szCs w:val="21"/>
                <w:lang w:val="en-US" w:eastAsia="zh-CN"/>
              </w:rPr>
              <w:t>检测</w:t>
            </w:r>
          </w:p>
        </w:tc>
      </w:tr>
      <w:tr w14:paraId="1387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7947C48B">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120C99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碘吸附值</w:t>
            </w:r>
          </w:p>
        </w:tc>
        <w:tc>
          <w:tcPr>
            <w:tcW w:w="966" w:type="pct"/>
            <w:vAlign w:val="center"/>
          </w:tcPr>
          <w:p w14:paraId="5B35D4B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mg/g</w:t>
            </w:r>
          </w:p>
        </w:tc>
        <w:tc>
          <w:tcPr>
            <w:tcW w:w="344" w:type="pct"/>
            <w:vMerge w:val="continue"/>
            <w:vAlign w:val="center"/>
          </w:tcPr>
          <w:p w14:paraId="274A4930">
            <w:pPr>
              <w:pStyle w:val="14"/>
              <w:jc w:val="center"/>
            </w:pPr>
          </w:p>
        </w:tc>
        <w:tc>
          <w:tcPr>
            <w:tcW w:w="627" w:type="pct"/>
            <w:vMerge w:val="continue"/>
            <w:vAlign w:val="center"/>
          </w:tcPr>
          <w:p w14:paraId="19433A48">
            <w:pPr>
              <w:pStyle w:val="14"/>
              <w:jc w:val="center"/>
            </w:pPr>
          </w:p>
        </w:tc>
        <w:tc>
          <w:tcPr>
            <w:tcW w:w="624" w:type="pct"/>
            <w:vMerge w:val="continue"/>
          </w:tcPr>
          <w:p w14:paraId="13E6D577">
            <w:pPr>
              <w:pStyle w:val="14"/>
              <w:jc w:val="center"/>
            </w:pPr>
          </w:p>
        </w:tc>
        <w:tc>
          <w:tcPr>
            <w:tcW w:w="745" w:type="pct"/>
            <w:vMerge w:val="continue"/>
          </w:tcPr>
          <w:p w14:paraId="4DBF2D1C">
            <w:pPr>
              <w:pStyle w:val="14"/>
              <w:jc w:val="center"/>
            </w:pPr>
          </w:p>
        </w:tc>
        <w:tc>
          <w:tcPr>
            <w:tcW w:w="592" w:type="pct"/>
            <w:vMerge w:val="continue"/>
            <w:vAlign w:val="center"/>
          </w:tcPr>
          <w:p w14:paraId="4006FF78">
            <w:pPr>
              <w:pStyle w:val="14"/>
              <w:jc w:val="center"/>
            </w:pPr>
          </w:p>
        </w:tc>
      </w:tr>
      <w:tr w14:paraId="1814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79" w:type="pct"/>
            <w:vMerge w:val="continue"/>
            <w:vAlign w:val="center"/>
          </w:tcPr>
          <w:p w14:paraId="7683DAA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42D9D4D">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比表面积（BET）</w:t>
            </w:r>
          </w:p>
        </w:tc>
        <w:tc>
          <w:tcPr>
            <w:tcW w:w="966" w:type="pct"/>
            <w:vAlign w:val="center"/>
          </w:tcPr>
          <w:p w14:paraId="0C56D06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㎡/g</w:t>
            </w:r>
          </w:p>
        </w:tc>
        <w:tc>
          <w:tcPr>
            <w:tcW w:w="344" w:type="pct"/>
            <w:vMerge w:val="continue"/>
            <w:vAlign w:val="center"/>
          </w:tcPr>
          <w:p w14:paraId="74E69EA6">
            <w:pPr>
              <w:pStyle w:val="14"/>
              <w:jc w:val="center"/>
            </w:pPr>
          </w:p>
        </w:tc>
        <w:tc>
          <w:tcPr>
            <w:tcW w:w="627" w:type="pct"/>
            <w:vMerge w:val="continue"/>
            <w:vAlign w:val="center"/>
          </w:tcPr>
          <w:p w14:paraId="167ED235">
            <w:pPr>
              <w:pStyle w:val="14"/>
              <w:jc w:val="center"/>
            </w:pPr>
          </w:p>
        </w:tc>
        <w:tc>
          <w:tcPr>
            <w:tcW w:w="624" w:type="pct"/>
            <w:vMerge w:val="continue"/>
          </w:tcPr>
          <w:p w14:paraId="23508B96">
            <w:pPr>
              <w:pStyle w:val="14"/>
              <w:jc w:val="center"/>
            </w:pPr>
          </w:p>
        </w:tc>
        <w:tc>
          <w:tcPr>
            <w:tcW w:w="745" w:type="pct"/>
            <w:vMerge w:val="continue"/>
          </w:tcPr>
          <w:p w14:paraId="15351D75">
            <w:pPr>
              <w:pStyle w:val="14"/>
              <w:jc w:val="center"/>
            </w:pPr>
          </w:p>
        </w:tc>
        <w:tc>
          <w:tcPr>
            <w:tcW w:w="592" w:type="pct"/>
            <w:vMerge w:val="continue"/>
            <w:vAlign w:val="center"/>
          </w:tcPr>
          <w:p w14:paraId="782876A2">
            <w:pPr>
              <w:pStyle w:val="14"/>
              <w:jc w:val="center"/>
            </w:pPr>
          </w:p>
        </w:tc>
      </w:tr>
      <w:tr w14:paraId="24F6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79" w:type="pct"/>
            <w:vMerge w:val="continue"/>
            <w:vAlign w:val="center"/>
          </w:tcPr>
          <w:p w14:paraId="56E4E40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57E02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灰分</w:t>
            </w:r>
          </w:p>
        </w:tc>
        <w:tc>
          <w:tcPr>
            <w:tcW w:w="966" w:type="pct"/>
            <w:vAlign w:val="center"/>
          </w:tcPr>
          <w:p w14:paraId="296462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≤15%</w:t>
            </w:r>
          </w:p>
        </w:tc>
        <w:tc>
          <w:tcPr>
            <w:tcW w:w="344" w:type="pct"/>
            <w:vMerge w:val="continue"/>
            <w:vAlign w:val="center"/>
          </w:tcPr>
          <w:p w14:paraId="246B19D0">
            <w:pPr>
              <w:pStyle w:val="14"/>
              <w:jc w:val="center"/>
            </w:pPr>
          </w:p>
        </w:tc>
        <w:tc>
          <w:tcPr>
            <w:tcW w:w="627" w:type="pct"/>
            <w:vMerge w:val="continue"/>
            <w:vAlign w:val="center"/>
          </w:tcPr>
          <w:p w14:paraId="4F9ABC69">
            <w:pPr>
              <w:pStyle w:val="14"/>
              <w:jc w:val="center"/>
            </w:pPr>
          </w:p>
        </w:tc>
        <w:tc>
          <w:tcPr>
            <w:tcW w:w="624" w:type="pct"/>
            <w:vMerge w:val="continue"/>
          </w:tcPr>
          <w:p w14:paraId="718AF065">
            <w:pPr>
              <w:pStyle w:val="14"/>
              <w:jc w:val="center"/>
            </w:pPr>
          </w:p>
        </w:tc>
        <w:tc>
          <w:tcPr>
            <w:tcW w:w="745" w:type="pct"/>
            <w:vMerge w:val="continue"/>
          </w:tcPr>
          <w:p w14:paraId="1A5C1491">
            <w:pPr>
              <w:pStyle w:val="14"/>
              <w:jc w:val="center"/>
            </w:pPr>
          </w:p>
        </w:tc>
        <w:tc>
          <w:tcPr>
            <w:tcW w:w="592" w:type="pct"/>
            <w:vMerge w:val="continue"/>
            <w:vAlign w:val="center"/>
          </w:tcPr>
          <w:p w14:paraId="14BB2F1B">
            <w:pPr>
              <w:pStyle w:val="14"/>
              <w:jc w:val="center"/>
            </w:pPr>
          </w:p>
        </w:tc>
      </w:tr>
      <w:tr w14:paraId="39F2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3218D2F">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73ACF55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水分</w:t>
            </w:r>
          </w:p>
        </w:tc>
        <w:tc>
          <w:tcPr>
            <w:tcW w:w="966" w:type="pct"/>
            <w:vAlign w:val="center"/>
          </w:tcPr>
          <w:p w14:paraId="7923C21E">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≤5%</w:t>
            </w:r>
          </w:p>
        </w:tc>
        <w:tc>
          <w:tcPr>
            <w:tcW w:w="344" w:type="pct"/>
            <w:vMerge w:val="continue"/>
            <w:vAlign w:val="center"/>
          </w:tcPr>
          <w:p w14:paraId="74DBD3E1">
            <w:pPr>
              <w:pStyle w:val="14"/>
              <w:jc w:val="center"/>
            </w:pPr>
          </w:p>
        </w:tc>
        <w:tc>
          <w:tcPr>
            <w:tcW w:w="627" w:type="pct"/>
            <w:vMerge w:val="continue"/>
            <w:vAlign w:val="center"/>
          </w:tcPr>
          <w:p w14:paraId="0EA3A482">
            <w:pPr>
              <w:pStyle w:val="14"/>
              <w:jc w:val="center"/>
            </w:pPr>
          </w:p>
        </w:tc>
        <w:tc>
          <w:tcPr>
            <w:tcW w:w="624" w:type="pct"/>
            <w:vMerge w:val="continue"/>
          </w:tcPr>
          <w:p w14:paraId="4AA2BC53">
            <w:pPr>
              <w:pStyle w:val="14"/>
              <w:jc w:val="center"/>
            </w:pPr>
          </w:p>
        </w:tc>
        <w:tc>
          <w:tcPr>
            <w:tcW w:w="745" w:type="pct"/>
            <w:vMerge w:val="continue"/>
          </w:tcPr>
          <w:p w14:paraId="2943CBFA">
            <w:pPr>
              <w:pStyle w:val="14"/>
              <w:jc w:val="center"/>
            </w:pPr>
          </w:p>
        </w:tc>
        <w:tc>
          <w:tcPr>
            <w:tcW w:w="592" w:type="pct"/>
            <w:vMerge w:val="continue"/>
            <w:vAlign w:val="center"/>
          </w:tcPr>
          <w:p w14:paraId="1FA0D461">
            <w:pPr>
              <w:pStyle w:val="14"/>
              <w:jc w:val="center"/>
            </w:pPr>
          </w:p>
        </w:tc>
      </w:tr>
      <w:tr w14:paraId="7DBE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79" w:type="pct"/>
            <w:vMerge w:val="continue"/>
            <w:vAlign w:val="center"/>
          </w:tcPr>
          <w:p w14:paraId="3DE3C4CE">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290C1CD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细度</w:t>
            </w:r>
          </w:p>
        </w:tc>
        <w:tc>
          <w:tcPr>
            <w:tcW w:w="966" w:type="pct"/>
            <w:vAlign w:val="center"/>
          </w:tcPr>
          <w:p w14:paraId="75E7F4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200目过筛≥ 95%</w:t>
            </w:r>
          </w:p>
        </w:tc>
        <w:tc>
          <w:tcPr>
            <w:tcW w:w="344" w:type="pct"/>
            <w:vMerge w:val="continue"/>
            <w:vAlign w:val="center"/>
          </w:tcPr>
          <w:p w14:paraId="03A241A8">
            <w:pPr>
              <w:pStyle w:val="14"/>
              <w:jc w:val="center"/>
            </w:pPr>
          </w:p>
        </w:tc>
        <w:tc>
          <w:tcPr>
            <w:tcW w:w="627" w:type="pct"/>
            <w:vMerge w:val="continue"/>
            <w:vAlign w:val="center"/>
          </w:tcPr>
          <w:p w14:paraId="564108A9">
            <w:pPr>
              <w:pStyle w:val="14"/>
              <w:jc w:val="center"/>
            </w:pPr>
          </w:p>
        </w:tc>
        <w:tc>
          <w:tcPr>
            <w:tcW w:w="624" w:type="pct"/>
            <w:vMerge w:val="continue"/>
          </w:tcPr>
          <w:p w14:paraId="2E2BA102">
            <w:pPr>
              <w:pStyle w:val="14"/>
              <w:jc w:val="center"/>
            </w:pPr>
          </w:p>
        </w:tc>
        <w:tc>
          <w:tcPr>
            <w:tcW w:w="745" w:type="pct"/>
            <w:vMerge w:val="continue"/>
          </w:tcPr>
          <w:p w14:paraId="5464385D">
            <w:pPr>
              <w:pStyle w:val="14"/>
              <w:jc w:val="center"/>
            </w:pPr>
          </w:p>
        </w:tc>
        <w:tc>
          <w:tcPr>
            <w:tcW w:w="592" w:type="pct"/>
            <w:vMerge w:val="continue"/>
            <w:vAlign w:val="center"/>
          </w:tcPr>
          <w:p w14:paraId="55F07FBF">
            <w:pPr>
              <w:pStyle w:val="14"/>
              <w:jc w:val="center"/>
            </w:pPr>
          </w:p>
        </w:tc>
      </w:tr>
      <w:tr w14:paraId="177A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4ABCDD9C">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705F6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PH</w:t>
            </w:r>
          </w:p>
        </w:tc>
        <w:tc>
          <w:tcPr>
            <w:tcW w:w="966" w:type="pct"/>
            <w:vAlign w:val="center"/>
          </w:tcPr>
          <w:p w14:paraId="5EB326C1">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6-10</w:t>
            </w:r>
          </w:p>
        </w:tc>
        <w:tc>
          <w:tcPr>
            <w:tcW w:w="344" w:type="pct"/>
            <w:vMerge w:val="continue"/>
            <w:vAlign w:val="center"/>
          </w:tcPr>
          <w:p w14:paraId="523C4C16">
            <w:pPr>
              <w:pStyle w:val="14"/>
              <w:jc w:val="center"/>
            </w:pPr>
          </w:p>
        </w:tc>
        <w:tc>
          <w:tcPr>
            <w:tcW w:w="627" w:type="pct"/>
            <w:vMerge w:val="continue"/>
            <w:vAlign w:val="center"/>
          </w:tcPr>
          <w:p w14:paraId="39F137BC">
            <w:pPr>
              <w:pStyle w:val="14"/>
              <w:jc w:val="center"/>
            </w:pPr>
          </w:p>
        </w:tc>
        <w:tc>
          <w:tcPr>
            <w:tcW w:w="624" w:type="pct"/>
            <w:vMerge w:val="continue"/>
          </w:tcPr>
          <w:p w14:paraId="256F84D8">
            <w:pPr>
              <w:pStyle w:val="14"/>
              <w:jc w:val="center"/>
            </w:pPr>
          </w:p>
        </w:tc>
        <w:tc>
          <w:tcPr>
            <w:tcW w:w="745" w:type="pct"/>
            <w:vMerge w:val="continue"/>
          </w:tcPr>
          <w:p w14:paraId="782025A6">
            <w:pPr>
              <w:pStyle w:val="14"/>
              <w:jc w:val="center"/>
            </w:pPr>
          </w:p>
        </w:tc>
        <w:tc>
          <w:tcPr>
            <w:tcW w:w="592" w:type="pct"/>
            <w:vMerge w:val="continue"/>
            <w:vAlign w:val="center"/>
          </w:tcPr>
          <w:p w14:paraId="5F59AE24">
            <w:pPr>
              <w:pStyle w:val="14"/>
              <w:jc w:val="center"/>
            </w:pPr>
          </w:p>
        </w:tc>
      </w:tr>
      <w:tr w14:paraId="776B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275A48A7">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36B24B06">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松袋密度</w:t>
            </w:r>
          </w:p>
        </w:tc>
        <w:tc>
          <w:tcPr>
            <w:tcW w:w="966" w:type="pct"/>
            <w:vAlign w:val="center"/>
          </w:tcPr>
          <w:p w14:paraId="53052A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400-500kg/m3</w:t>
            </w:r>
          </w:p>
        </w:tc>
        <w:tc>
          <w:tcPr>
            <w:tcW w:w="344" w:type="pct"/>
            <w:vMerge w:val="continue"/>
            <w:vAlign w:val="center"/>
          </w:tcPr>
          <w:p w14:paraId="37840696">
            <w:pPr>
              <w:pStyle w:val="14"/>
              <w:jc w:val="center"/>
            </w:pPr>
          </w:p>
        </w:tc>
        <w:tc>
          <w:tcPr>
            <w:tcW w:w="627" w:type="pct"/>
            <w:vMerge w:val="continue"/>
            <w:vAlign w:val="center"/>
          </w:tcPr>
          <w:p w14:paraId="0E25DCBE">
            <w:pPr>
              <w:pStyle w:val="14"/>
              <w:jc w:val="center"/>
            </w:pPr>
          </w:p>
        </w:tc>
        <w:tc>
          <w:tcPr>
            <w:tcW w:w="624" w:type="pct"/>
            <w:vMerge w:val="continue"/>
          </w:tcPr>
          <w:p w14:paraId="23B231D8">
            <w:pPr>
              <w:pStyle w:val="14"/>
              <w:jc w:val="center"/>
            </w:pPr>
          </w:p>
        </w:tc>
        <w:tc>
          <w:tcPr>
            <w:tcW w:w="745" w:type="pct"/>
            <w:vMerge w:val="continue"/>
          </w:tcPr>
          <w:p w14:paraId="3D6AA861">
            <w:pPr>
              <w:pStyle w:val="14"/>
              <w:jc w:val="center"/>
            </w:pPr>
          </w:p>
        </w:tc>
        <w:tc>
          <w:tcPr>
            <w:tcW w:w="592" w:type="pct"/>
            <w:vMerge w:val="continue"/>
            <w:vAlign w:val="center"/>
          </w:tcPr>
          <w:p w14:paraId="1DD85870">
            <w:pPr>
              <w:pStyle w:val="14"/>
              <w:jc w:val="center"/>
            </w:pPr>
          </w:p>
        </w:tc>
      </w:tr>
      <w:tr w14:paraId="488D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5866821">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50E791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四氯化炭吸附值</w:t>
            </w:r>
          </w:p>
        </w:tc>
        <w:tc>
          <w:tcPr>
            <w:tcW w:w="966" w:type="pct"/>
            <w:vAlign w:val="center"/>
          </w:tcPr>
          <w:p w14:paraId="1ED069E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＞60%</w:t>
            </w:r>
          </w:p>
        </w:tc>
        <w:tc>
          <w:tcPr>
            <w:tcW w:w="344" w:type="pct"/>
            <w:vMerge w:val="continue"/>
            <w:vAlign w:val="center"/>
          </w:tcPr>
          <w:p w14:paraId="78929900">
            <w:pPr>
              <w:pStyle w:val="14"/>
              <w:jc w:val="center"/>
            </w:pPr>
          </w:p>
        </w:tc>
        <w:tc>
          <w:tcPr>
            <w:tcW w:w="627" w:type="pct"/>
            <w:vMerge w:val="continue"/>
            <w:vAlign w:val="center"/>
          </w:tcPr>
          <w:p w14:paraId="77321B70">
            <w:pPr>
              <w:pStyle w:val="14"/>
              <w:jc w:val="center"/>
            </w:pPr>
          </w:p>
        </w:tc>
        <w:tc>
          <w:tcPr>
            <w:tcW w:w="624" w:type="pct"/>
            <w:vMerge w:val="continue"/>
          </w:tcPr>
          <w:p w14:paraId="7D2B4ABE">
            <w:pPr>
              <w:pStyle w:val="14"/>
              <w:jc w:val="center"/>
            </w:pPr>
          </w:p>
        </w:tc>
        <w:tc>
          <w:tcPr>
            <w:tcW w:w="745" w:type="pct"/>
            <w:vMerge w:val="continue"/>
          </w:tcPr>
          <w:p w14:paraId="3758229C">
            <w:pPr>
              <w:pStyle w:val="14"/>
              <w:jc w:val="center"/>
            </w:pPr>
          </w:p>
        </w:tc>
        <w:tc>
          <w:tcPr>
            <w:tcW w:w="592" w:type="pct"/>
            <w:vMerge w:val="continue"/>
            <w:vAlign w:val="center"/>
          </w:tcPr>
          <w:p w14:paraId="6334A0B1">
            <w:pPr>
              <w:pStyle w:val="14"/>
              <w:jc w:val="center"/>
            </w:pPr>
          </w:p>
        </w:tc>
      </w:tr>
    </w:tbl>
    <w:p w14:paraId="2D1C03A5">
      <w:pPr>
        <w:rPr>
          <w:rFonts w:hint="eastAsia"/>
          <w:b w:val="0"/>
          <w:bCs w:val="0"/>
        </w:rPr>
      </w:pPr>
    </w:p>
    <w:p w14:paraId="23E3D5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bCs/>
          <w:kern w:val="2"/>
          <w:sz w:val="21"/>
          <w:szCs w:val="21"/>
        </w:rPr>
        <w:t>每个月送货大概三次左右，每次5吨左右</w:t>
      </w:r>
      <w:r>
        <w:rPr>
          <w:rFonts w:hint="eastAsia" w:cs="Times New Roman" w:asciiTheme="minorHAnsi" w:hAnsiTheme="minorHAnsi" w:eastAsiaTheme="minorEastAsia"/>
          <w:b/>
          <w:bCs/>
          <w:kern w:val="2"/>
          <w:sz w:val="21"/>
          <w:szCs w:val="21"/>
          <w:lang w:eastAsia="zh-CN"/>
        </w:rPr>
        <w:t>（</w:t>
      </w:r>
      <w:r>
        <w:rPr>
          <w:rFonts w:hint="eastAsia" w:cs="Times New Roman" w:asciiTheme="minorHAnsi" w:hAnsiTheme="minorHAnsi" w:eastAsiaTheme="minorEastAsia"/>
          <w:b/>
          <w:bCs/>
          <w:kern w:val="2"/>
          <w:sz w:val="21"/>
          <w:szCs w:val="21"/>
          <w:lang w:val="en-US" w:eastAsia="zh-CN"/>
        </w:rPr>
        <w:t>我司</w:t>
      </w:r>
      <w:bookmarkStart w:id="82" w:name="_GoBack"/>
      <w:bookmarkEnd w:id="82"/>
      <w:r>
        <w:rPr>
          <w:rFonts w:hint="eastAsia" w:cs="Times New Roman" w:asciiTheme="minorHAnsi" w:hAnsiTheme="minorHAnsi" w:eastAsiaTheme="minorEastAsia"/>
          <w:b/>
          <w:bCs/>
          <w:kern w:val="2"/>
          <w:sz w:val="21"/>
          <w:szCs w:val="21"/>
          <w:lang w:val="en-US" w:eastAsia="zh-CN"/>
        </w:rPr>
        <w:t>储罐体积20立方，最多只能装9吨）</w:t>
      </w:r>
      <w:r>
        <w:rPr>
          <w:rFonts w:hint="eastAsia" w:cs="Times New Roman" w:asciiTheme="minorHAnsi" w:hAnsiTheme="minorHAnsi" w:eastAsiaTheme="minorEastAsia"/>
          <w:b w:val="0"/>
          <w:bCs w:val="0"/>
          <w:kern w:val="2"/>
          <w:sz w:val="21"/>
          <w:szCs w:val="21"/>
        </w:rPr>
        <w:t>。</w:t>
      </w:r>
      <w:r>
        <w:rPr>
          <w:rFonts w:hint="eastAsia" w:cs="Times New Roman" w:asciiTheme="minorHAnsi" w:hAnsiTheme="minorHAnsi" w:eastAsiaTheme="minorEastAsia"/>
          <w:b/>
          <w:bCs/>
          <w:kern w:val="2"/>
          <w:sz w:val="21"/>
          <w:szCs w:val="21"/>
        </w:rPr>
        <w:t>乙方负责运输（槽罐车）和卸货</w:t>
      </w:r>
      <w:r>
        <w:rPr>
          <w:rFonts w:hint="eastAsia" w:cs="Times New Roman" w:asciiTheme="minorHAnsi" w:hAnsiTheme="minorHAnsi" w:eastAsiaTheme="minorEastAsia"/>
          <w:b w:val="0"/>
          <w:bCs w:val="0"/>
          <w:kern w:val="2"/>
          <w:sz w:val="21"/>
          <w:szCs w:val="21"/>
        </w:rPr>
        <w:t>、开具13%增值税专用发票。以上数量为暂定数量，具体数量以甲方实际运营所需来定，甲方会根据实际运行情况提前两天通知乙方送货并告知所送货的数量。</w:t>
      </w:r>
      <w:r>
        <w:rPr>
          <w:rFonts w:hint="eastAsia" w:cs="Times New Roman" w:asciiTheme="minorHAnsi" w:hAnsiTheme="minorHAnsi" w:eastAsiaTheme="minorEastAsia"/>
          <w:b w:val="0"/>
          <w:bCs w:val="0"/>
          <w:kern w:val="2"/>
          <w:sz w:val="21"/>
          <w:szCs w:val="21"/>
          <w:lang w:val="en-US" w:eastAsia="zh-CN"/>
        </w:rPr>
        <w:t>不能用再生煤炭作为原料。</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w:t>
      </w:r>
      <w:r>
        <w:rPr>
          <w:rFonts w:hint="eastAsia" w:cs="Times New Roman" w:asciiTheme="minorHAnsi" w:hAnsiTheme="minorHAnsi" w:eastAsiaTheme="minorEastAsia"/>
          <w:b/>
          <w:bCs/>
          <w:kern w:val="2"/>
          <w:sz w:val="21"/>
          <w:szCs w:val="21"/>
        </w:rPr>
        <w:t>每月21号统计上月21-本月20日实际交货的数量（经甲方验收合格），通知乙方开票、实际付款时间为甲方收到乙方发票后</w:t>
      </w:r>
      <w:r>
        <w:rPr>
          <w:rFonts w:hint="eastAsia" w:cs="Times New Roman" w:asciiTheme="minorHAnsi" w:hAnsiTheme="minorHAnsi" w:eastAsiaTheme="minorEastAsia"/>
          <w:b/>
          <w:bCs/>
          <w:kern w:val="2"/>
          <w:sz w:val="21"/>
          <w:szCs w:val="21"/>
          <w:lang w:val="en-US" w:eastAsia="zh-CN"/>
        </w:rPr>
        <w:t>60</w:t>
      </w:r>
      <w:r>
        <w:rPr>
          <w:rFonts w:hint="eastAsia" w:cs="Times New Roman" w:asciiTheme="minorHAnsi" w:hAnsiTheme="minorHAnsi" w:eastAsiaTheme="minorEastAsia"/>
          <w:b/>
          <w:bCs/>
          <w:kern w:val="2"/>
          <w:sz w:val="21"/>
          <w:szCs w:val="21"/>
        </w:rPr>
        <w:t>天左右付款</w:t>
      </w:r>
      <w:r>
        <w:rPr>
          <w:rFonts w:hint="eastAsia" w:cs="Times New Roman" w:asciiTheme="minorHAnsi" w:hAnsiTheme="minorHAnsi" w:eastAsiaTheme="minorEastAsia"/>
          <w:b w:val="0"/>
          <w:bCs w:val="0"/>
          <w:kern w:val="2"/>
          <w:sz w:val="21"/>
          <w:szCs w:val="21"/>
        </w:rPr>
        <w:t>。</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广东省茂名高州市金山工业区高州绿能环保发电项目现场</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交货时间：2026-6-21到2027-6-20。</w:t>
      </w: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0" w:name="_Toc456799956"/>
      <w:bookmarkStart w:id="71" w:name="_Toc456799696"/>
      <w:bookmarkStart w:id="72" w:name="_Toc456799804"/>
      <w:bookmarkStart w:id="73"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0"/>
      <w:bookmarkEnd w:id="71"/>
      <w:bookmarkEnd w:id="72"/>
      <w:bookmarkEnd w:id="73"/>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4" w:name="_Toc176085646"/>
      <w:bookmarkStart w:id="75" w:name="_Toc174521077"/>
      <w:r>
        <w:rPr>
          <w:rFonts w:hint="eastAsia" w:ascii="宋体" w:hAnsi="宋体" w:eastAsia="宋体"/>
          <w:szCs w:val="24"/>
        </w:rPr>
        <w:t>附</w:t>
      </w:r>
      <w:r>
        <w:rPr>
          <w:rFonts w:hint="eastAsia" w:ascii="宋体" w:hAnsi="宋体" w:eastAsia="宋体"/>
          <w:sz w:val="21"/>
          <w:szCs w:val="21"/>
        </w:rPr>
        <w:t>录</w:t>
      </w:r>
      <w:r>
        <w:rPr>
          <w:rFonts w:hint="eastAsia" w:ascii="宋体" w:hAnsi="宋体" w:eastAsia="宋体"/>
          <w:sz w:val="21"/>
          <w:szCs w:val="21"/>
          <w:lang w:val="en-US" w:eastAsia="zh-CN"/>
        </w:rPr>
        <w:t>1</w:t>
      </w:r>
      <w:r>
        <w:rPr>
          <w:rFonts w:ascii="宋体" w:hAnsi="宋体" w:eastAsia="宋体"/>
          <w:szCs w:val="24"/>
        </w:rPr>
        <w:t>-7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jc w:val="left"/>
        <w:rPr>
          <w:rFonts w:ascii="宋体" w:hAnsi="宋体" w:eastAsia="宋体"/>
          <w:szCs w:val="24"/>
        </w:rPr>
      </w:pPr>
      <w:r>
        <w:rPr>
          <w:rFonts w:ascii="宋体" w:hAnsi="宋体" w:eastAsia="宋体"/>
          <w:szCs w:val="24"/>
        </w:rPr>
        <w:t>提供业绩合同证明。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4"/>
    <w:bookmarkEnd w:id="75"/>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w:t>
      </w:r>
      <w:r>
        <w:rPr>
          <w:rFonts w:hint="eastAsia" w:ascii="宋体" w:hAnsi="宋体" w:eastAsia="宋体" w:cs="Times New Roman"/>
          <w:sz w:val="44"/>
          <w:szCs w:val="44"/>
          <w:lang w:eastAsia="zh-CN"/>
        </w:rPr>
        <w:t>粉状煤质活性炭</w:t>
      </w:r>
      <w:r>
        <w:rPr>
          <w:rFonts w:hint="eastAsia" w:ascii="宋体" w:hAnsi="宋体" w:eastAsia="宋体" w:cs="Times New Roman"/>
          <w:sz w:val="44"/>
          <w:szCs w:val="44"/>
        </w:rPr>
        <w:t>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ITB-LK-MMLK-ZB-JC2026-006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日期：2026年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6"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6"/>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73866512">
      <w:pPr>
        <w:tabs>
          <w:tab w:val="left" w:pos="502"/>
          <w:tab w:val="left" w:pos="709"/>
        </w:tabs>
        <w:adjustRightInd w:val="0"/>
        <w:snapToGrid w:val="0"/>
        <w:spacing w:line="440" w:lineRule="exact"/>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项目地址一：位于广东省茂名市高州市金山工业园朗坤环保能源（茂名）有限公司</w:t>
      </w:r>
      <w:r>
        <w:rPr>
          <w:rFonts w:hint="eastAsia" w:ascii="仿宋" w:hAnsi="仿宋" w:eastAsia="仿宋" w:cs="仿宋"/>
          <w:bCs/>
          <w:sz w:val="28"/>
          <w:szCs w:val="28"/>
        </w:rPr>
        <w:t>。</w:t>
      </w:r>
      <w:r>
        <w:rPr>
          <w:rFonts w:hint="eastAsia" w:ascii="仿宋" w:hAnsi="仿宋" w:eastAsia="仿宋" w:cs="仿宋"/>
          <w:kern w:val="0"/>
          <w:sz w:val="28"/>
          <w:szCs w:val="28"/>
          <w:lang w:val="en-US" w:eastAsia="zh-CN" w:bidi="ar-SA"/>
        </w:rPr>
        <w:t>该项目配备两台日处理600吨机械炉排焚烧炉，烟气处理设计为半干法脱硫+SNCR+活性炭+布袋除尘。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粉状煤质活性炭</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180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lang w:eastAsia="zh-CN"/>
        </w:rPr>
      </w:pPr>
      <w:r>
        <w:rPr>
          <w:rFonts w:hint="eastAsia" w:ascii="仿宋" w:hAnsi="仿宋" w:eastAsia="仿宋" w:cs="仿宋"/>
          <w:b/>
          <w:sz w:val="28"/>
          <w:szCs w:val="28"/>
        </w:rPr>
        <w:t>3.2</w:t>
      </w:r>
      <w:r>
        <w:rPr>
          <w:rFonts w:hint="eastAsia" w:ascii="仿宋" w:hAnsi="仿宋" w:eastAsia="仿宋" w:cs="仿宋"/>
          <w:b/>
          <w:sz w:val="28"/>
          <w:szCs w:val="28"/>
          <w:lang w:eastAsia="zh-CN"/>
        </w:rPr>
        <w:t>粉状煤质活性炭</w:t>
      </w:r>
    </w:p>
    <w:p w14:paraId="1F7EB684">
      <w:pPr>
        <w:pStyle w:val="80"/>
        <w:numPr>
          <w:ilvl w:val="0"/>
          <w:numId w:val="2"/>
        </w:numPr>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粉状煤质活性炭</w:t>
      </w:r>
      <w:r>
        <w:rPr>
          <w:rFonts w:hint="eastAsia" w:ascii="仿宋" w:hAnsi="仿宋" w:eastAsia="仿宋" w:cs="仿宋"/>
          <w:sz w:val="28"/>
          <w:szCs w:val="28"/>
        </w:rPr>
        <w:t>技术指标（表二）</w:t>
      </w:r>
    </w:p>
    <w:p w14:paraId="0DA40753">
      <w:pPr>
        <w:pStyle w:val="80"/>
        <w:numPr>
          <w:ilvl w:val="0"/>
          <w:numId w:val="0"/>
        </w:numPr>
        <w:spacing w:line="220" w:lineRule="atLeast"/>
        <w:rPr>
          <w:rFonts w:hint="eastAsia" w:ascii="仿宋" w:hAnsi="仿宋" w:eastAsia="仿宋" w:cs="仿宋"/>
          <w:sz w:val="28"/>
          <w:szCs w:val="28"/>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995" w:type="dxa"/>
            <w:noWrap w:val="0"/>
            <w:vAlign w:val="center"/>
          </w:tcPr>
          <w:p w14:paraId="66359444">
            <w:pPr>
              <w:pStyle w:val="14"/>
              <w:jc w:val="center"/>
              <w:rPr>
                <w:rFonts w:hint="eastAsia" w:ascii="仿宋" w:hAnsi="仿宋" w:eastAsia="仿宋" w:cs="仿宋"/>
                <w:sz w:val="28"/>
                <w:szCs w:val="28"/>
              </w:rPr>
            </w:pPr>
            <w:r>
              <w:rPr>
                <w:rFonts w:hint="eastAsia"/>
                <w:snapToGrid w:val="0"/>
                <w:szCs w:val="21"/>
              </w:rPr>
              <w:t>碘吸附值</w:t>
            </w:r>
          </w:p>
        </w:tc>
        <w:tc>
          <w:tcPr>
            <w:tcW w:w="2295" w:type="dxa"/>
            <w:noWrap w:val="0"/>
            <w:vAlign w:val="center"/>
          </w:tcPr>
          <w:p w14:paraId="0BEE3F56">
            <w:pPr>
              <w:pStyle w:val="14"/>
              <w:jc w:val="center"/>
              <w:rPr>
                <w:rFonts w:hint="eastAsia" w:ascii="仿宋" w:hAnsi="仿宋" w:eastAsia="仿宋" w:cs="仿宋"/>
                <w:sz w:val="28"/>
                <w:szCs w:val="28"/>
              </w:rPr>
            </w:pPr>
            <w:r>
              <w:rPr>
                <w:rFonts w:hint="eastAsia"/>
                <w:snapToGrid w:val="0"/>
                <w:szCs w:val="21"/>
              </w:rPr>
              <w:t>≥</w:t>
            </w:r>
            <w:r>
              <w:rPr>
                <w:rFonts w:hint="eastAsia"/>
                <w:snapToGrid w:val="0"/>
                <w:szCs w:val="21"/>
                <w:lang w:eastAsia="zh-CN"/>
              </w:rPr>
              <w:t>900 mg</w:t>
            </w:r>
            <w:r>
              <w:rPr>
                <w:rFonts w:hint="eastAsia"/>
                <w:snapToGrid w:val="0"/>
                <w:szCs w:val="21"/>
              </w:rPr>
              <w:t>/g</w:t>
            </w:r>
          </w:p>
        </w:tc>
        <w:tc>
          <w:tcPr>
            <w:tcW w:w="2131" w:type="dxa"/>
            <w:noWrap w:val="0"/>
            <w:vAlign w:val="top"/>
          </w:tcPr>
          <w:p w14:paraId="12395752">
            <w:pPr>
              <w:spacing w:line="220" w:lineRule="atLeast"/>
              <w:jc w:val="both"/>
              <w:rPr>
                <w:rFonts w:hint="eastAsia" w:ascii="仿宋" w:hAnsi="仿宋" w:eastAsia="仿宋" w:cs="仿宋"/>
                <w:sz w:val="28"/>
                <w:szCs w:val="28"/>
              </w:rPr>
            </w:pP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2995" w:type="dxa"/>
            <w:noWrap w:val="0"/>
            <w:vAlign w:val="center"/>
          </w:tcPr>
          <w:p w14:paraId="3A5106F2">
            <w:pPr>
              <w:pStyle w:val="14"/>
              <w:jc w:val="center"/>
              <w:rPr>
                <w:rFonts w:hint="eastAsia" w:ascii="仿宋" w:hAnsi="仿宋" w:eastAsia="仿宋" w:cs="仿宋"/>
                <w:sz w:val="28"/>
                <w:szCs w:val="28"/>
              </w:rPr>
            </w:pPr>
            <w:r>
              <w:rPr>
                <w:rFonts w:hint="eastAsia"/>
                <w:snapToGrid w:val="0"/>
                <w:color w:val="000000"/>
                <w:szCs w:val="21"/>
              </w:rPr>
              <w:t>比表面积（BET）</w:t>
            </w:r>
          </w:p>
        </w:tc>
        <w:tc>
          <w:tcPr>
            <w:tcW w:w="2295" w:type="dxa"/>
            <w:noWrap w:val="0"/>
            <w:vAlign w:val="center"/>
          </w:tcPr>
          <w:p w14:paraId="777E4754">
            <w:pPr>
              <w:pStyle w:val="14"/>
              <w:jc w:val="center"/>
              <w:rPr>
                <w:rFonts w:hint="eastAsia" w:ascii="仿宋" w:hAnsi="仿宋" w:eastAsia="仿宋" w:cs="仿宋"/>
                <w:sz w:val="28"/>
                <w:szCs w:val="28"/>
              </w:rPr>
            </w:pPr>
            <w:r>
              <w:rPr>
                <w:rFonts w:hint="eastAsia"/>
                <w:snapToGrid w:val="0"/>
                <w:szCs w:val="21"/>
              </w:rPr>
              <w:t>≥</w:t>
            </w:r>
            <w:r>
              <w:rPr>
                <w:rFonts w:hint="eastAsia"/>
                <w:snapToGrid w:val="0"/>
                <w:color w:val="000000"/>
                <w:szCs w:val="21"/>
              </w:rPr>
              <w:t>900 ㎡/g</w:t>
            </w:r>
          </w:p>
        </w:tc>
        <w:tc>
          <w:tcPr>
            <w:tcW w:w="2131" w:type="dxa"/>
            <w:noWrap w:val="0"/>
            <w:vAlign w:val="top"/>
          </w:tcPr>
          <w:p w14:paraId="1F1490F3">
            <w:pPr>
              <w:spacing w:line="220" w:lineRule="atLeast"/>
              <w:rPr>
                <w:rFonts w:hint="eastAsia" w:ascii="仿宋" w:hAnsi="仿宋" w:eastAsia="仿宋" w:cs="仿宋"/>
                <w:sz w:val="28"/>
                <w:szCs w:val="28"/>
              </w:rPr>
            </w:pPr>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995" w:type="dxa"/>
            <w:noWrap w:val="0"/>
            <w:vAlign w:val="center"/>
          </w:tcPr>
          <w:p w14:paraId="61562DC3">
            <w:pPr>
              <w:pStyle w:val="14"/>
              <w:jc w:val="center"/>
              <w:rPr>
                <w:rFonts w:hint="eastAsia" w:ascii="仿宋" w:hAnsi="仿宋" w:eastAsia="仿宋" w:cs="仿宋"/>
                <w:sz w:val="28"/>
                <w:szCs w:val="28"/>
              </w:rPr>
            </w:pPr>
            <w:r>
              <w:rPr>
                <w:rFonts w:hint="eastAsia"/>
                <w:snapToGrid w:val="0"/>
                <w:color w:val="000000"/>
                <w:szCs w:val="21"/>
              </w:rPr>
              <w:t>灰分</w:t>
            </w:r>
          </w:p>
        </w:tc>
        <w:tc>
          <w:tcPr>
            <w:tcW w:w="2295" w:type="dxa"/>
            <w:noWrap w:val="0"/>
            <w:vAlign w:val="center"/>
          </w:tcPr>
          <w:p w14:paraId="74AC5AF4">
            <w:pPr>
              <w:pStyle w:val="14"/>
              <w:jc w:val="center"/>
              <w:rPr>
                <w:rFonts w:hint="eastAsia" w:ascii="仿宋" w:hAnsi="仿宋" w:eastAsia="仿宋" w:cs="仿宋"/>
                <w:sz w:val="28"/>
                <w:szCs w:val="28"/>
              </w:rPr>
            </w:pPr>
            <w:r>
              <w:rPr>
                <w:rFonts w:hint="eastAsia"/>
              </w:rPr>
              <w:t>≤1</w:t>
            </w:r>
            <w:r>
              <w:rPr>
                <w:rFonts w:hint="eastAsia"/>
                <w:lang w:val="en-US" w:eastAsia="zh-CN"/>
              </w:rPr>
              <w:t>5</w:t>
            </w:r>
            <w:r>
              <w:rPr>
                <w:rFonts w:hint="eastAsia"/>
              </w:rPr>
              <w:t>%</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2995" w:type="dxa"/>
            <w:noWrap w:val="0"/>
            <w:vAlign w:val="center"/>
          </w:tcPr>
          <w:p w14:paraId="5E51B6E6">
            <w:pPr>
              <w:pStyle w:val="14"/>
              <w:jc w:val="center"/>
              <w:rPr>
                <w:rFonts w:hint="eastAsia" w:ascii="仿宋" w:hAnsi="仿宋" w:eastAsia="仿宋" w:cs="仿宋"/>
                <w:sz w:val="28"/>
                <w:szCs w:val="28"/>
              </w:rPr>
            </w:pPr>
            <w:r>
              <w:rPr>
                <w:rFonts w:hint="eastAsia"/>
              </w:rPr>
              <w:t>水分</w:t>
            </w:r>
          </w:p>
        </w:tc>
        <w:tc>
          <w:tcPr>
            <w:tcW w:w="2295" w:type="dxa"/>
            <w:noWrap w:val="0"/>
            <w:vAlign w:val="center"/>
          </w:tcPr>
          <w:p w14:paraId="0971E687">
            <w:pPr>
              <w:pStyle w:val="14"/>
              <w:jc w:val="center"/>
              <w:rPr>
                <w:rFonts w:hint="eastAsia" w:ascii="仿宋" w:hAnsi="仿宋" w:eastAsia="仿宋" w:cs="仿宋"/>
                <w:sz w:val="28"/>
                <w:szCs w:val="28"/>
              </w:rPr>
            </w:pPr>
            <w:r>
              <w:rPr>
                <w:rFonts w:hint="eastAsia"/>
              </w:rPr>
              <w:t>≤5%</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2995" w:type="dxa"/>
            <w:noWrap w:val="0"/>
            <w:vAlign w:val="center"/>
          </w:tcPr>
          <w:p w14:paraId="7264E4B7">
            <w:pPr>
              <w:pStyle w:val="14"/>
              <w:jc w:val="center"/>
              <w:rPr>
                <w:rFonts w:hint="eastAsia" w:ascii="仿宋" w:hAnsi="仿宋" w:eastAsia="仿宋" w:cs="仿宋"/>
                <w:sz w:val="28"/>
                <w:szCs w:val="28"/>
              </w:rPr>
            </w:pPr>
            <w:r>
              <w:rPr>
                <w:rFonts w:hint="eastAsia"/>
                <w:snapToGrid w:val="0"/>
                <w:szCs w:val="21"/>
              </w:rPr>
              <w:t>细度</w:t>
            </w:r>
          </w:p>
        </w:tc>
        <w:tc>
          <w:tcPr>
            <w:tcW w:w="2295" w:type="dxa"/>
            <w:noWrap w:val="0"/>
            <w:vAlign w:val="center"/>
          </w:tcPr>
          <w:p w14:paraId="3FF6365B">
            <w:pPr>
              <w:pStyle w:val="14"/>
              <w:rPr>
                <w:rFonts w:hint="eastAsia" w:ascii="仿宋" w:hAnsi="仿宋" w:eastAsia="仿宋" w:cs="仿宋"/>
                <w:sz w:val="28"/>
                <w:szCs w:val="28"/>
              </w:rPr>
            </w:pPr>
            <w:r>
              <w:rPr>
                <w:rFonts w:hint="eastAsia"/>
                <w:snapToGrid w:val="0"/>
                <w:szCs w:val="21"/>
              </w:rPr>
              <w:t>200目过筛≥ 95%</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p>
        </w:tc>
        <w:tc>
          <w:tcPr>
            <w:tcW w:w="2995" w:type="dxa"/>
            <w:noWrap w:val="0"/>
            <w:vAlign w:val="center"/>
          </w:tcPr>
          <w:p w14:paraId="652F34B3">
            <w:pPr>
              <w:pStyle w:val="14"/>
              <w:jc w:val="center"/>
              <w:rPr>
                <w:rFonts w:hint="eastAsia" w:ascii="仿宋" w:hAnsi="仿宋" w:eastAsia="仿宋" w:cs="仿宋"/>
                <w:sz w:val="28"/>
                <w:szCs w:val="28"/>
              </w:rPr>
            </w:pPr>
            <w:r>
              <w:rPr>
                <w:rFonts w:hint="eastAsia"/>
              </w:rPr>
              <w:t>PH</w:t>
            </w:r>
          </w:p>
        </w:tc>
        <w:tc>
          <w:tcPr>
            <w:tcW w:w="2295" w:type="dxa"/>
            <w:noWrap w:val="0"/>
            <w:vAlign w:val="center"/>
          </w:tcPr>
          <w:p w14:paraId="05717230">
            <w:pPr>
              <w:pStyle w:val="14"/>
              <w:jc w:val="center"/>
              <w:rPr>
                <w:rFonts w:hint="eastAsia" w:ascii="仿宋" w:hAnsi="仿宋" w:eastAsia="仿宋" w:cs="仿宋"/>
                <w:sz w:val="28"/>
                <w:szCs w:val="28"/>
              </w:rPr>
            </w:pPr>
            <w:r>
              <w:rPr>
                <w:rFonts w:hint="eastAsia"/>
              </w:rPr>
              <w:t>6-10</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p>
        </w:tc>
        <w:tc>
          <w:tcPr>
            <w:tcW w:w="2995" w:type="dxa"/>
            <w:noWrap w:val="0"/>
            <w:vAlign w:val="center"/>
          </w:tcPr>
          <w:p w14:paraId="3FCFE1F8">
            <w:pPr>
              <w:pStyle w:val="14"/>
              <w:jc w:val="center"/>
              <w:rPr>
                <w:rFonts w:hint="eastAsia" w:ascii="仿宋" w:hAnsi="仿宋" w:eastAsia="仿宋" w:cs="仿宋"/>
                <w:sz w:val="28"/>
                <w:szCs w:val="28"/>
              </w:rPr>
            </w:pPr>
            <w:r>
              <w:rPr>
                <w:rFonts w:hint="eastAsia"/>
              </w:rPr>
              <w:t>松袋密度</w:t>
            </w:r>
          </w:p>
        </w:tc>
        <w:tc>
          <w:tcPr>
            <w:tcW w:w="2295" w:type="dxa"/>
            <w:noWrap w:val="0"/>
            <w:vAlign w:val="center"/>
          </w:tcPr>
          <w:p w14:paraId="166A546C">
            <w:pPr>
              <w:pStyle w:val="14"/>
              <w:jc w:val="center"/>
              <w:rPr>
                <w:rFonts w:hint="eastAsia" w:ascii="仿宋" w:hAnsi="仿宋" w:eastAsia="仿宋" w:cs="仿宋"/>
                <w:sz w:val="28"/>
                <w:szCs w:val="28"/>
              </w:rPr>
            </w:pPr>
            <w:r>
              <w:rPr>
                <w:rFonts w:hint="eastAsia"/>
              </w:rPr>
              <w:t>400-500kg/m3</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8</w:t>
            </w:r>
          </w:p>
        </w:tc>
        <w:tc>
          <w:tcPr>
            <w:tcW w:w="2995" w:type="dxa"/>
            <w:noWrap w:val="0"/>
            <w:vAlign w:val="center"/>
          </w:tcPr>
          <w:p w14:paraId="4A869F00">
            <w:pPr>
              <w:pStyle w:val="14"/>
              <w:jc w:val="center"/>
              <w:rPr>
                <w:rFonts w:hint="eastAsia" w:ascii="仿宋" w:hAnsi="仿宋" w:eastAsia="仿宋" w:cs="仿宋"/>
                <w:sz w:val="28"/>
                <w:szCs w:val="28"/>
              </w:rPr>
            </w:pPr>
            <w:r>
              <w:rPr>
                <w:rFonts w:hint="eastAsia"/>
              </w:rPr>
              <w:t>四氯化炭吸附值</w:t>
            </w:r>
          </w:p>
        </w:tc>
        <w:tc>
          <w:tcPr>
            <w:tcW w:w="2295" w:type="dxa"/>
            <w:noWrap w:val="0"/>
            <w:vAlign w:val="center"/>
          </w:tcPr>
          <w:p w14:paraId="1C0DFC29">
            <w:pPr>
              <w:pStyle w:val="14"/>
              <w:jc w:val="center"/>
              <w:rPr>
                <w:rFonts w:hint="eastAsia" w:ascii="仿宋" w:hAnsi="仿宋" w:eastAsia="仿宋" w:cs="仿宋"/>
                <w:sz w:val="28"/>
                <w:szCs w:val="28"/>
              </w:rPr>
            </w:pPr>
            <w:r>
              <w:rPr>
                <w:rFonts w:hint="eastAsia"/>
              </w:rPr>
              <w:t>＞60%</w:t>
            </w:r>
          </w:p>
        </w:tc>
        <w:tc>
          <w:tcPr>
            <w:tcW w:w="2131" w:type="dxa"/>
            <w:noWrap w:val="0"/>
            <w:vAlign w:val="top"/>
          </w:tcPr>
          <w:p w14:paraId="23378003">
            <w:pPr>
              <w:spacing w:line="220" w:lineRule="atLeast"/>
              <w:rPr>
                <w:rFonts w:hint="eastAsia" w:ascii="仿宋" w:hAnsi="仿宋" w:eastAsia="仿宋" w:cs="仿宋"/>
                <w:sz w:val="28"/>
                <w:szCs w:val="28"/>
              </w:rPr>
            </w:pPr>
          </w:p>
        </w:tc>
      </w:tr>
    </w:tbl>
    <w:p w14:paraId="3C31E666">
      <w:pPr>
        <w:spacing w:line="440" w:lineRule="exact"/>
        <w:outlineLvl w:val="0"/>
        <w:rPr>
          <w:rFonts w:hint="eastAsia" w:ascii="仿宋" w:hAnsi="仿宋" w:eastAsia="华文中宋" w:cs="仿宋"/>
          <w:color w:val="000000"/>
          <w:sz w:val="28"/>
          <w:szCs w:val="28"/>
          <w:lang w:val="en-US" w:eastAsia="zh-CN"/>
        </w:rPr>
      </w:pPr>
      <w:r>
        <w:rPr>
          <w:rFonts w:hint="eastAsia" w:ascii="宋体" w:hAnsi="宋体"/>
          <w:szCs w:val="21"/>
          <w:lang w:val="en-US" w:eastAsia="zh-CN"/>
        </w:rPr>
        <w:t>以上按</w:t>
      </w:r>
      <w:r>
        <w:rPr>
          <w:rFonts w:hint="eastAsia" w:ascii="宋体" w:hAnsi="宋体"/>
          <w:szCs w:val="21"/>
        </w:rPr>
        <w:t>GB/T7702 《煤质颗粒活性炭试验方法》</w:t>
      </w:r>
      <w:r>
        <w:rPr>
          <w:rFonts w:hint="eastAsia" w:ascii="宋体" w:hAnsi="宋体"/>
          <w:szCs w:val="21"/>
          <w:lang w:val="en-US" w:eastAsia="zh-CN"/>
        </w:rPr>
        <w:t>检测。</w:t>
      </w:r>
    </w:p>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 xml:space="preserve">*必须采用罐车运输，且罐车带气体输送装置，输送装置接头应按甲方现场接头为准，如不匹配的乙方自行更改，每次送 </w:t>
      </w:r>
      <w:r>
        <w:rPr>
          <w:rFonts w:hint="eastAsia" w:ascii="仿宋" w:hAnsi="仿宋" w:eastAsia="仿宋" w:cs="仿宋"/>
          <w:sz w:val="28"/>
          <w:szCs w:val="28"/>
          <w:lang w:val="en-US" w:eastAsia="zh-CN"/>
        </w:rPr>
        <w:t>5</w:t>
      </w:r>
      <w:r>
        <w:rPr>
          <w:rFonts w:hint="eastAsia" w:ascii="仿宋" w:hAnsi="仿宋" w:eastAsia="仿宋" w:cs="仿宋"/>
          <w:sz w:val="28"/>
          <w:szCs w:val="28"/>
        </w:rPr>
        <w:t>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color w:val="000000"/>
          <w:spacing w:val="10"/>
          <w:kern w:val="2"/>
          <w:sz w:val="28"/>
          <w:szCs w:val="28"/>
          <w:lang w:val="en-US" w:eastAsia="zh-CN" w:bidi="ar-SA"/>
        </w:rPr>
        <w:t>朗坤环保能源（茂名）有限公司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7" w:name="_Toc35342046"/>
      <w:bookmarkStart w:id="78" w:name="_Toc50864444"/>
      <w:bookmarkStart w:id="79" w:name="_Toc91392962"/>
      <w:bookmarkStart w:id="80"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7"/>
      <w:bookmarkEnd w:id="78"/>
      <w:bookmarkEnd w:id="79"/>
      <w:r>
        <w:rPr>
          <w:rFonts w:hint="eastAsia" w:ascii="仿宋" w:hAnsi="仿宋" w:eastAsia="仿宋" w:cs="仿宋"/>
          <w:b/>
          <w:sz w:val="28"/>
          <w:szCs w:val="28"/>
        </w:rPr>
        <w:t>技术要求</w:t>
      </w:r>
      <w:bookmarkEnd w:id="80"/>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1" w:name="_Toc123786891"/>
      <w:r>
        <w:rPr>
          <w:rFonts w:hint="eastAsia" w:ascii="仿宋" w:hAnsi="仿宋" w:eastAsia="仿宋" w:cs="仿宋"/>
          <w:b w:val="0"/>
          <w:kern w:val="44"/>
          <w:szCs w:val="28"/>
        </w:rPr>
        <w:t>一、项目详细技术要求</w:t>
      </w:r>
      <w:bookmarkEnd w:id="81"/>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w:t>
      </w:r>
      <w:r>
        <w:rPr>
          <w:rFonts w:hint="eastAsia" w:ascii="仿宋" w:hAnsi="仿宋" w:eastAsia="仿宋" w:cs="仿宋"/>
          <w:kern w:val="44"/>
          <w:sz w:val="28"/>
          <w:szCs w:val="28"/>
          <w:lang w:eastAsia="zh-CN"/>
        </w:rPr>
        <w:t>朗坤环保能源（茂名）有限公司</w:t>
      </w:r>
      <w:r>
        <w:rPr>
          <w:rFonts w:hint="eastAsia" w:ascii="仿宋" w:hAnsi="仿宋" w:eastAsia="仿宋" w:cs="仿宋"/>
          <w:kern w:val="44"/>
          <w:sz w:val="28"/>
          <w:szCs w:val="28"/>
        </w:rPr>
        <w:t>设施工艺情况，提供有指导意义的技术方案，指导如何才能合理节约环保材料的消耗，满足我厂环保指标的达标排放。</w:t>
      </w:r>
      <w:r>
        <w:rPr>
          <w:rFonts w:hint="eastAsia" w:ascii="仿宋" w:hAnsi="仿宋" w:eastAsia="仿宋" w:cs="仿宋"/>
          <w:kern w:val="44"/>
          <w:sz w:val="28"/>
          <w:szCs w:val="28"/>
          <w:lang w:eastAsia="zh-CN"/>
        </w:rPr>
        <w:t>朗坤环保能源（茂名）有限公司</w:t>
      </w:r>
      <w:r>
        <w:rPr>
          <w:rFonts w:hint="eastAsia" w:ascii="仿宋" w:hAnsi="仿宋" w:eastAsia="仿宋" w:cs="仿宋"/>
          <w:sz w:val="28"/>
          <w:szCs w:val="28"/>
        </w:rPr>
        <w:t>烟气净化系统工艺如下：采用半干法+活性炭吸附+布袋除尘器+SNCR，其中活性炭系统自活性炭间至尾部烟道；干粉系统（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粉）自干粉间至尾部烟道；石灰制浆系统（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粉）从石灰浆制备间至脱酸塔；尿素自SNCR间至锅炉高温区；螯合剂与飞灰螯合后装袋。根据烟气处理其它项目参考活性炭单耗约为   吨/天，</w:t>
      </w:r>
      <w:r>
        <w:rPr>
          <w:rFonts w:hint="eastAsia" w:ascii="仿宋" w:hAnsi="仿宋" w:eastAsia="仿宋" w:cs="仿宋"/>
          <w:sz w:val="28"/>
          <w:szCs w:val="28"/>
          <w:lang w:eastAsia="zh-CN"/>
        </w:rPr>
        <w:t>粉状煤质活性炭</w:t>
      </w:r>
      <w:r>
        <w:rPr>
          <w:rFonts w:hint="eastAsia" w:ascii="仿宋" w:hAnsi="仿宋" w:eastAsia="仿宋" w:cs="仿宋"/>
          <w:sz w:val="28"/>
          <w:szCs w:val="28"/>
        </w:rPr>
        <w:t>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约为</w:t>
      </w:r>
      <w:r>
        <w:rPr>
          <w:rFonts w:hint="eastAsia" w:ascii="仿宋" w:hAnsi="仿宋" w:eastAsia="仿宋" w:cs="仿宋"/>
          <w:sz w:val="28"/>
          <w:szCs w:val="28"/>
          <w:lang w:val="en-US" w:eastAsia="zh-CN"/>
        </w:rPr>
        <w:t>18</w:t>
      </w:r>
      <w:r>
        <w:rPr>
          <w:rFonts w:hint="eastAsia" w:ascii="仿宋" w:hAnsi="仿宋" w:eastAsia="仿宋" w:cs="仿宋"/>
          <w:sz w:val="28"/>
          <w:szCs w:val="28"/>
        </w:rPr>
        <w:t>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627AE4F7">
      <w:pPr>
        <w:snapToGrid w:val="0"/>
        <w:spacing w:line="440" w:lineRule="exact"/>
        <w:rPr>
          <w:rFonts w:hint="default"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3、投标方需提供粉状煤质活性炭第三方检测报告。</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A20B25"/>
    <w:multiLevelType w:val="singleLevel"/>
    <w:tmpl w:val="64A20B25"/>
    <w:lvl w:ilvl="0" w:tentative="0">
      <w:start w:val="1"/>
      <w:numFmt w:val="chineseCounting"/>
      <w:suff w:val="nothing"/>
      <w:lvlText w:val="%1）"/>
      <w:lvlJc w:val="left"/>
      <w:rPr>
        <w:rFonts w:hint="eastAsia"/>
      </w:rPr>
    </w:lvl>
  </w:abstractNum>
  <w:abstractNum w:abstractNumId="1">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4675D0"/>
    <w:rsid w:val="03FB485E"/>
    <w:rsid w:val="04235541"/>
    <w:rsid w:val="05575AC4"/>
    <w:rsid w:val="05E43751"/>
    <w:rsid w:val="065F7326"/>
    <w:rsid w:val="068428E9"/>
    <w:rsid w:val="06D25D4A"/>
    <w:rsid w:val="0728596A"/>
    <w:rsid w:val="07B0770E"/>
    <w:rsid w:val="07E15B19"/>
    <w:rsid w:val="07EA2C20"/>
    <w:rsid w:val="07F93B7A"/>
    <w:rsid w:val="085608FD"/>
    <w:rsid w:val="089112ED"/>
    <w:rsid w:val="08C81C73"/>
    <w:rsid w:val="0A56558B"/>
    <w:rsid w:val="0A7669ED"/>
    <w:rsid w:val="0AB37C41"/>
    <w:rsid w:val="0AC21C32"/>
    <w:rsid w:val="0B2C78C3"/>
    <w:rsid w:val="0B3F14D4"/>
    <w:rsid w:val="0B892750"/>
    <w:rsid w:val="0BE5207C"/>
    <w:rsid w:val="0C593912"/>
    <w:rsid w:val="0CC04897"/>
    <w:rsid w:val="0CFF0F1B"/>
    <w:rsid w:val="0DE34399"/>
    <w:rsid w:val="0E5B794D"/>
    <w:rsid w:val="0F2C6214"/>
    <w:rsid w:val="0F916F1E"/>
    <w:rsid w:val="10484987"/>
    <w:rsid w:val="106F5AD2"/>
    <w:rsid w:val="107B2FAF"/>
    <w:rsid w:val="10C500F9"/>
    <w:rsid w:val="11765524"/>
    <w:rsid w:val="11D84431"/>
    <w:rsid w:val="12763A52"/>
    <w:rsid w:val="12D70244"/>
    <w:rsid w:val="12DF41C2"/>
    <w:rsid w:val="12EA7F78"/>
    <w:rsid w:val="13010F42"/>
    <w:rsid w:val="13086650"/>
    <w:rsid w:val="14CE2CE9"/>
    <w:rsid w:val="14F25809"/>
    <w:rsid w:val="1543632C"/>
    <w:rsid w:val="158521DA"/>
    <w:rsid w:val="158F4E06"/>
    <w:rsid w:val="159D5775"/>
    <w:rsid w:val="159E329B"/>
    <w:rsid w:val="16445BF1"/>
    <w:rsid w:val="16710EBD"/>
    <w:rsid w:val="168B1A72"/>
    <w:rsid w:val="16975AF5"/>
    <w:rsid w:val="16AE5760"/>
    <w:rsid w:val="16CA721C"/>
    <w:rsid w:val="1706734A"/>
    <w:rsid w:val="1711641B"/>
    <w:rsid w:val="17323584"/>
    <w:rsid w:val="179606CE"/>
    <w:rsid w:val="17CA0378"/>
    <w:rsid w:val="18406A73"/>
    <w:rsid w:val="18C15C1F"/>
    <w:rsid w:val="18FB5F94"/>
    <w:rsid w:val="193C7053"/>
    <w:rsid w:val="194523AC"/>
    <w:rsid w:val="195C76F5"/>
    <w:rsid w:val="19687E48"/>
    <w:rsid w:val="1A8011C2"/>
    <w:rsid w:val="1B061915"/>
    <w:rsid w:val="1B067919"/>
    <w:rsid w:val="1BC42663"/>
    <w:rsid w:val="1C8F393E"/>
    <w:rsid w:val="1DCD2970"/>
    <w:rsid w:val="1DD106B2"/>
    <w:rsid w:val="1DFC3255"/>
    <w:rsid w:val="1E05035C"/>
    <w:rsid w:val="1EAE454F"/>
    <w:rsid w:val="1F070103"/>
    <w:rsid w:val="1F1B770B"/>
    <w:rsid w:val="1F7F25CA"/>
    <w:rsid w:val="1F971487"/>
    <w:rsid w:val="1FD47FE6"/>
    <w:rsid w:val="20E73D48"/>
    <w:rsid w:val="20E97AC1"/>
    <w:rsid w:val="21A41C3A"/>
    <w:rsid w:val="21EB1616"/>
    <w:rsid w:val="21FA7AAB"/>
    <w:rsid w:val="228850B7"/>
    <w:rsid w:val="228A52D3"/>
    <w:rsid w:val="228F4698"/>
    <w:rsid w:val="22A719E1"/>
    <w:rsid w:val="23700025"/>
    <w:rsid w:val="239F4DAE"/>
    <w:rsid w:val="23C55669"/>
    <w:rsid w:val="240F17D6"/>
    <w:rsid w:val="24DD793C"/>
    <w:rsid w:val="253A4D8F"/>
    <w:rsid w:val="256C2A6E"/>
    <w:rsid w:val="258B52DD"/>
    <w:rsid w:val="25BE6FE6"/>
    <w:rsid w:val="26661BB3"/>
    <w:rsid w:val="26D16D39"/>
    <w:rsid w:val="26EA4592"/>
    <w:rsid w:val="271B299E"/>
    <w:rsid w:val="278A5506"/>
    <w:rsid w:val="28862099"/>
    <w:rsid w:val="28BE1833"/>
    <w:rsid w:val="28E374EB"/>
    <w:rsid w:val="29A625D1"/>
    <w:rsid w:val="2A293624"/>
    <w:rsid w:val="2AFB43D6"/>
    <w:rsid w:val="2BD355F5"/>
    <w:rsid w:val="2BE23739"/>
    <w:rsid w:val="2C3170D7"/>
    <w:rsid w:val="2C74487D"/>
    <w:rsid w:val="2C9E3E55"/>
    <w:rsid w:val="2DC45B3D"/>
    <w:rsid w:val="2E162111"/>
    <w:rsid w:val="2E92252E"/>
    <w:rsid w:val="2F01691D"/>
    <w:rsid w:val="2F963509"/>
    <w:rsid w:val="305B02AF"/>
    <w:rsid w:val="31091AB9"/>
    <w:rsid w:val="31941AD5"/>
    <w:rsid w:val="31EA5447"/>
    <w:rsid w:val="32432DA9"/>
    <w:rsid w:val="32A45F3D"/>
    <w:rsid w:val="32DC6EF6"/>
    <w:rsid w:val="32E26A66"/>
    <w:rsid w:val="333D5A4A"/>
    <w:rsid w:val="339733AC"/>
    <w:rsid w:val="345E211C"/>
    <w:rsid w:val="34E97C37"/>
    <w:rsid w:val="353C6584"/>
    <w:rsid w:val="35B244CD"/>
    <w:rsid w:val="35F920FC"/>
    <w:rsid w:val="360B1E2F"/>
    <w:rsid w:val="360F36CE"/>
    <w:rsid w:val="362D624A"/>
    <w:rsid w:val="36590DED"/>
    <w:rsid w:val="36B424C7"/>
    <w:rsid w:val="36BB51F4"/>
    <w:rsid w:val="36E20DE2"/>
    <w:rsid w:val="37092813"/>
    <w:rsid w:val="37BC7885"/>
    <w:rsid w:val="38A345A1"/>
    <w:rsid w:val="39447B32"/>
    <w:rsid w:val="39AC4D26"/>
    <w:rsid w:val="39D37108"/>
    <w:rsid w:val="3A0472C2"/>
    <w:rsid w:val="3A465B2C"/>
    <w:rsid w:val="3A773F37"/>
    <w:rsid w:val="3A83468A"/>
    <w:rsid w:val="3B3D6F2F"/>
    <w:rsid w:val="3B6F1513"/>
    <w:rsid w:val="3B8E32E7"/>
    <w:rsid w:val="3BEB0739"/>
    <w:rsid w:val="3C94492D"/>
    <w:rsid w:val="3CF8135F"/>
    <w:rsid w:val="3D512B45"/>
    <w:rsid w:val="3D5642D8"/>
    <w:rsid w:val="3DEF3806"/>
    <w:rsid w:val="3E426AC0"/>
    <w:rsid w:val="3E4D7489"/>
    <w:rsid w:val="3E8B1D5F"/>
    <w:rsid w:val="3EEC6CA2"/>
    <w:rsid w:val="3F057D64"/>
    <w:rsid w:val="3F8073EA"/>
    <w:rsid w:val="3FF91CB6"/>
    <w:rsid w:val="4010076E"/>
    <w:rsid w:val="40FE0F0E"/>
    <w:rsid w:val="41807B75"/>
    <w:rsid w:val="42021EDE"/>
    <w:rsid w:val="421F113C"/>
    <w:rsid w:val="42254279"/>
    <w:rsid w:val="422B5D33"/>
    <w:rsid w:val="425B7C9B"/>
    <w:rsid w:val="429F227D"/>
    <w:rsid w:val="436F39FE"/>
    <w:rsid w:val="43C04259"/>
    <w:rsid w:val="446F6F84"/>
    <w:rsid w:val="44F214EB"/>
    <w:rsid w:val="45A3254E"/>
    <w:rsid w:val="45D73ADC"/>
    <w:rsid w:val="45E71F71"/>
    <w:rsid w:val="46537607"/>
    <w:rsid w:val="46B81B60"/>
    <w:rsid w:val="474B4782"/>
    <w:rsid w:val="47AA0C6D"/>
    <w:rsid w:val="47F366F7"/>
    <w:rsid w:val="48AA101E"/>
    <w:rsid w:val="48AB197C"/>
    <w:rsid w:val="48FA468F"/>
    <w:rsid w:val="49137521"/>
    <w:rsid w:val="495F4514"/>
    <w:rsid w:val="49631BE5"/>
    <w:rsid w:val="496F0BFB"/>
    <w:rsid w:val="498D72D3"/>
    <w:rsid w:val="4A282B58"/>
    <w:rsid w:val="4A6242BC"/>
    <w:rsid w:val="4A6B22B2"/>
    <w:rsid w:val="4A8A3813"/>
    <w:rsid w:val="4AA85A47"/>
    <w:rsid w:val="4ABB577A"/>
    <w:rsid w:val="4AC959D0"/>
    <w:rsid w:val="4AE56E9A"/>
    <w:rsid w:val="4B0E200C"/>
    <w:rsid w:val="4B983D0E"/>
    <w:rsid w:val="4BD411EA"/>
    <w:rsid w:val="4BF20AB3"/>
    <w:rsid w:val="4C4579F1"/>
    <w:rsid w:val="4C7107E7"/>
    <w:rsid w:val="4C8D3147"/>
    <w:rsid w:val="4D6420F9"/>
    <w:rsid w:val="4D8A1CAF"/>
    <w:rsid w:val="4EF851EF"/>
    <w:rsid w:val="4F2A189B"/>
    <w:rsid w:val="4F3E697A"/>
    <w:rsid w:val="4F894099"/>
    <w:rsid w:val="50336826"/>
    <w:rsid w:val="507C59AC"/>
    <w:rsid w:val="51D33CF1"/>
    <w:rsid w:val="51ED0175"/>
    <w:rsid w:val="520B2954"/>
    <w:rsid w:val="52291B63"/>
    <w:rsid w:val="528154FB"/>
    <w:rsid w:val="528943B0"/>
    <w:rsid w:val="532C5467"/>
    <w:rsid w:val="53805784"/>
    <w:rsid w:val="53EC109A"/>
    <w:rsid w:val="54181E8F"/>
    <w:rsid w:val="5568451C"/>
    <w:rsid w:val="557D34DC"/>
    <w:rsid w:val="55EB785C"/>
    <w:rsid w:val="569021B1"/>
    <w:rsid w:val="571E3D72"/>
    <w:rsid w:val="57A547F7"/>
    <w:rsid w:val="57F329F7"/>
    <w:rsid w:val="583A6878"/>
    <w:rsid w:val="58DF4D2A"/>
    <w:rsid w:val="591F15CA"/>
    <w:rsid w:val="593B714F"/>
    <w:rsid w:val="595C281E"/>
    <w:rsid w:val="597B0EF6"/>
    <w:rsid w:val="5AD92379"/>
    <w:rsid w:val="5B3550D5"/>
    <w:rsid w:val="5B694D7F"/>
    <w:rsid w:val="5BC87CF7"/>
    <w:rsid w:val="5C05424F"/>
    <w:rsid w:val="5C3F2626"/>
    <w:rsid w:val="5CA442C0"/>
    <w:rsid w:val="5D174D32"/>
    <w:rsid w:val="5D3513BC"/>
    <w:rsid w:val="5D65398D"/>
    <w:rsid w:val="5DE54B90"/>
    <w:rsid w:val="5E336092"/>
    <w:rsid w:val="5E3D49CC"/>
    <w:rsid w:val="5EF961CD"/>
    <w:rsid w:val="5F4B4EC7"/>
    <w:rsid w:val="5FD77BF1"/>
    <w:rsid w:val="60FF41BB"/>
    <w:rsid w:val="611B7262"/>
    <w:rsid w:val="62D6719E"/>
    <w:rsid w:val="62D90A3C"/>
    <w:rsid w:val="62E80C7F"/>
    <w:rsid w:val="631321A0"/>
    <w:rsid w:val="63253C81"/>
    <w:rsid w:val="632B573B"/>
    <w:rsid w:val="637D2331"/>
    <w:rsid w:val="637F5A87"/>
    <w:rsid w:val="638C3D00"/>
    <w:rsid w:val="63974B7F"/>
    <w:rsid w:val="63E45BD4"/>
    <w:rsid w:val="640D6BEF"/>
    <w:rsid w:val="64281C7B"/>
    <w:rsid w:val="647B13BB"/>
    <w:rsid w:val="64C80D68"/>
    <w:rsid w:val="652C12F7"/>
    <w:rsid w:val="65332685"/>
    <w:rsid w:val="65384140"/>
    <w:rsid w:val="654A5952"/>
    <w:rsid w:val="65F26CA4"/>
    <w:rsid w:val="66644AC0"/>
    <w:rsid w:val="66AD6467"/>
    <w:rsid w:val="66E410C4"/>
    <w:rsid w:val="67D55C76"/>
    <w:rsid w:val="67EE250E"/>
    <w:rsid w:val="6893478B"/>
    <w:rsid w:val="68A35D74"/>
    <w:rsid w:val="68B47F81"/>
    <w:rsid w:val="68D46AC8"/>
    <w:rsid w:val="69DA7573"/>
    <w:rsid w:val="6A3D3FA6"/>
    <w:rsid w:val="6A4250A0"/>
    <w:rsid w:val="6A470981"/>
    <w:rsid w:val="6A5C442C"/>
    <w:rsid w:val="6A9C0CCD"/>
    <w:rsid w:val="6AB9187F"/>
    <w:rsid w:val="6B013699"/>
    <w:rsid w:val="6B3B2294"/>
    <w:rsid w:val="6BA047ED"/>
    <w:rsid w:val="6BE91CF0"/>
    <w:rsid w:val="6C4E5FF7"/>
    <w:rsid w:val="6C8C6B1F"/>
    <w:rsid w:val="6CC9450D"/>
    <w:rsid w:val="6D567859"/>
    <w:rsid w:val="6DA85BDA"/>
    <w:rsid w:val="6DFFD528"/>
    <w:rsid w:val="6E602011"/>
    <w:rsid w:val="6E66587A"/>
    <w:rsid w:val="6EC3758C"/>
    <w:rsid w:val="70910BA8"/>
    <w:rsid w:val="709A7A5C"/>
    <w:rsid w:val="70CD6084"/>
    <w:rsid w:val="70FA4636"/>
    <w:rsid w:val="713954C7"/>
    <w:rsid w:val="71F36F0B"/>
    <w:rsid w:val="73F751C6"/>
    <w:rsid w:val="74765CE9"/>
    <w:rsid w:val="74D30172"/>
    <w:rsid w:val="754D1541"/>
    <w:rsid w:val="7553467E"/>
    <w:rsid w:val="75BF7F65"/>
    <w:rsid w:val="75ED37DD"/>
    <w:rsid w:val="7608190C"/>
    <w:rsid w:val="76165DD7"/>
    <w:rsid w:val="7634625D"/>
    <w:rsid w:val="76FB6D7B"/>
    <w:rsid w:val="777D3C34"/>
    <w:rsid w:val="78994A9D"/>
    <w:rsid w:val="797D25FA"/>
    <w:rsid w:val="79915775"/>
    <w:rsid w:val="7A8C2B0C"/>
    <w:rsid w:val="7AA53BCD"/>
    <w:rsid w:val="7AC2652D"/>
    <w:rsid w:val="7B1228E5"/>
    <w:rsid w:val="7D124E1E"/>
    <w:rsid w:val="7D332438"/>
    <w:rsid w:val="7D4C20DE"/>
    <w:rsid w:val="7D5947FB"/>
    <w:rsid w:val="7D7F6A8A"/>
    <w:rsid w:val="7D8B70AB"/>
    <w:rsid w:val="7DFF35F5"/>
    <w:rsid w:val="7F7840F3"/>
    <w:rsid w:val="7FA53D28"/>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6724</Words>
  <Characters>7426</Characters>
  <Lines>48</Lines>
  <Paragraphs>13</Paragraphs>
  <TotalTime>0</TotalTime>
  <ScaleCrop>false</ScaleCrop>
  <LinksUpToDate>false</LinksUpToDate>
  <CharactersWithSpaces>8093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朗坤余巍工作手机</cp:lastModifiedBy>
  <cp:lastPrinted>2020-09-18T22:29:00Z</cp:lastPrinted>
  <dcterms:modified xsi:type="dcterms:W3CDTF">2026-05-16T03:27:57Z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D3745B240752468198C0D5383B4EF188_12</vt:lpwstr>
  </property>
  <property fmtid="{D5CDD505-2E9C-101B-9397-08002B2CF9AE}" pid="4" name="KSOTemplateDocerSaveRecord">
    <vt:lpwstr>eyJoZGlkIjoiODRhMWQ5MzAyYjI3NTk2OGYzZDcwYzE1MDJmMjhlYTciLCJ1c2VySWQiOiIxNzk5NDAyMDgyIn0=</vt:lpwstr>
  </property>
</Properties>
</file>